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pStyle w:val="2"/>
        <w:tabs>
          <w:tab w:val="left" w:pos="600"/>
        </w:tabs>
        <w:spacing w:line="400" w:lineRule="exact"/>
        <w:ind w:firstLine="0"/>
        <w:jc w:val="center"/>
      </w:pPr>
      <w:r>
        <w:rPr>
          <w:rFonts w:hint="eastAsia"/>
        </w:rPr>
        <w:t>评分细则</w:t>
      </w:r>
    </w:p>
    <w:tbl>
      <w:tblPr>
        <w:tblStyle w:val="4"/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615"/>
        <w:gridCol w:w="2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评分因素及权重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评分标准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报价</w:t>
            </w:r>
          </w:p>
          <w:p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（40分）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以本次有效最低投标报价为基准价：投标报价得分</w:t>
            </w:r>
            <w:r>
              <w:rPr>
                <w:rFonts w:hAnsi="宋体"/>
                <w:color w:val="000000"/>
                <w:szCs w:val="21"/>
              </w:rPr>
              <w:t>=(</w:t>
            </w:r>
            <w:r>
              <w:rPr>
                <w:rFonts w:hint="eastAsia" w:hAnsi="宋体"/>
                <w:color w:val="000000"/>
                <w:szCs w:val="21"/>
              </w:rPr>
              <w:t>基准价／投标报价</w:t>
            </w:r>
            <w:r>
              <w:rPr>
                <w:rFonts w:hAnsi="宋体"/>
                <w:color w:val="000000"/>
                <w:szCs w:val="21"/>
              </w:rPr>
              <w:t>)</w:t>
            </w:r>
            <w:r>
              <w:rPr>
                <w:rFonts w:hint="eastAsia" w:hAnsi="宋体"/>
                <w:color w:val="000000"/>
                <w:szCs w:val="21"/>
              </w:rPr>
              <w:t>×40分；计算总价（单价汇总）进行报价评分。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以开标一览表为准（评分的取值按四舍五入法，保留小数点后两位。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技术参数40分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根据投标产品的质量进行排序，排序前五名依次得分如下：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第一名：该项分值×</w:t>
            </w:r>
            <w:r>
              <w:rPr>
                <w:rFonts w:hAnsi="宋体" w:cs="宋体"/>
                <w:color w:val="000000"/>
                <w:szCs w:val="21"/>
              </w:rPr>
              <w:t>100%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第二名：该项分值×</w:t>
            </w:r>
            <w:r>
              <w:rPr>
                <w:rFonts w:hAnsi="宋体" w:cs="宋体"/>
                <w:color w:val="000000"/>
                <w:szCs w:val="21"/>
              </w:rPr>
              <w:t>75%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第三名：该项分值×</w:t>
            </w:r>
            <w:r>
              <w:rPr>
                <w:rFonts w:hAnsi="宋体" w:cs="宋体"/>
                <w:color w:val="000000"/>
                <w:szCs w:val="21"/>
              </w:rPr>
              <w:t>50%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第四名：该项分值×</w:t>
            </w:r>
            <w:r>
              <w:rPr>
                <w:rFonts w:hAnsi="宋体" w:cs="宋体"/>
                <w:color w:val="000000"/>
                <w:szCs w:val="21"/>
              </w:rPr>
              <w:t>25%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第五名及以后得分为零。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以投标文件及投标样品为准（从产品功能、设计、外观、材质、相关专利等方面评定产品质量）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投标企业及专业评价（10分）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/>
                <w:color w:val="000000"/>
                <w:szCs w:val="21"/>
              </w:rPr>
              <w:t>1 .</w:t>
            </w:r>
            <w:r>
              <w:rPr>
                <w:rFonts w:hint="eastAsia" w:hAnsi="宋体" w:cs="宋体"/>
                <w:color w:val="000000"/>
                <w:szCs w:val="21"/>
              </w:rPr>
              <w:t>服务人员素质、服务机构实力、提供的技术支持优的得5分；服务人员素质、服务机构实力、提供的技术支持良的得3分；服务人员素质、服务机构实力、提供的技术支持一般的得1分。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根据技术及服务方案评价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07"/>
              </w:tabs>
              <w:ind w:left="-53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/>
                <w:color w:val="000000"/>
                <w:szCs w:val="21"/>
              </w:rPr>
              <w:t>2</w:t>
            </w:r>
            <w:r>
              <w:rPr>
                <w:rFonts w:hint="eastAsia" w:hAnsi="宋体" w:cs="宋体"/>
                <w:color w:val="000000"/>
                <w:szCs w:val="21"/>
              </w:rPr>
              <w:t>、在用户当地有售后服务网点：配送速度及人员、车辆响应情况，售后服务及时响应，配送仓库地点、库存等情况：最佳的得</w:t>
            </w:r>
            <w:r>
              <w:rPr>
                <w:rFonts w:hAnsi="宋体" w:cs="宋体"/>
                <w:color w:val="000000"/>
                <w:szCs w:val="21"/>
              </w:rPr>
              <w:t>5</w:t>
            </w:r>
            <w:r>
              <w:rPr>
                <w:rFonts w:hint="eastAsia" w:hAnsi="宋体" w:cs="宋体"/>
                <w:color w:val="000000"/>
                <w:szCs w:val="21"/>
              </w:rPr>
              <w:t>分；一般的得</w:t>
            </w:r>
            <w:r>
              <w:rPr>
                <w:rFonts w:hAnsi="宋体" w:cs="宋体"/>
                <w:color w:val="000000"/>
                <w:szCs w:val="21"/>
              </w:rPr>
              <w:t xml:space="preserve"> 3</w:t>
            </w:r>
            <w:r>
              <w:rPr>
                <w:rFonts w:hint="eastAsia" w:hAnsi="宋体" w:cs="宋体"/>
                <w:color w:val="000000"/>
                <w:szCs w:val="21"/>
              </w:rPr>
              <w:t>分；差的得1分。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根据投标人针对本次项目作出的实施方案或相关文件证明评分。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10" w:leftChars="100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投标产品样品（8分）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按要求提供产品样品</w:t>
            </w:r>
          </w:p>
          <w:p>
            <w:pPr>
              <w:widowControl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全部完全按要求提供样品最多得8分；未提供样品不得分。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根据产品参数对照产品样品评分；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投标文件规范性（2分）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投标文件制作规范，逐页编码，对招标文件响应全面，格式规范，内容整齐得2分；每一要求负偏离扣</w:t>
            </w:r>
            <w:r>
              <w:rPr>
                <w:rFonts w:hAnsi="宋体"/>
                <w:color w:val="000000"/>
                <w:szCs w:val="21"/>
              </w:rPr>
              <w:t>0.5</w:t>
            </w:r>
            <w:r>
              <w:rPr>
                <w:rFonts w:hint="eastAsia" w:hAnsi="宋体"/>
                <w:color w:val="000000"/>
                <w:szCs w:val="21"/>
              </w:rPr>
              <w:t>分，直至扣分本项分值为止。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以投标文件为准</w:t>
            </w:r>
          </w:p>
        </w:tc>
      </w:tr>
    </w:tbl>
    <w:p>
      <w:pPr>
        <w:rPr>
          <w:rFonts w:ascii="仿宋" w:hAnsi="仿宋" w:eastAsia="仿宋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907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5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65D4"/>
    <w:multiLevelType w:val="multilevel"/>
    <w:tmpl w:val="49A165D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21487"/>
    <w:rsid w:val="537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795"/>
    </w:pPr>
    <w:rPr>
      <w:rFonts w:ascii="Calibri" w:hAnsi="Calibri" w:eastAsia="宋体" w:cs="Times New Roman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2019-03-14T02:38:00Z</dcterms:created>
  <dc:creator>滚圈圈1392172603</dc:creator>
  <cp:lastModifiedBy>滚圈圈1392172603</cp:lastModifiedBy>
  <dcterms:modified xsi:type="dcterms:W3CDTF">2019-03-14T02:39:50Z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