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rPr>
          <w:rFonts w:hint="eastAsia" w:ascii="宋体" w:hAnsi="宋体"/>
          <w:b/>
          <w:bCs/>
          <w:sz w:val="28"/>
          <w:szCs w:val="28"/>
          <w:lang w:val="en-US" w:eastAsia="zh-CN"/>
        </w:rPr>
      </w:pPr>
      <w:r>
        <w:rPr>
          <w:rFonts w:hint="eastAsia" w:ascii="宋体" w:hAnsi="宋体"/>
          <w:b/>
          <w:bCs/>
          <w:sz w:val="28"/>
          <w:szCs w:val="28"/>
          <w:lang w:eastAsia="zh-CN"/>
        </w:rPr>
        <w:t>附件</w:t>
      </w:r>
      <w:r>
        <w:rPr>
          <w:rFonts w:hint="eastAsia" w:ascii="宋体" w:hAnsi="宋体"/>
          <w:b/>
          <w:bCs/>
          <w:sz w:val="28"/>
          <w:szCs w:val="28"/>
          <w:lang w:val="en-US" w:eastAsia="zh-CN"/>
        </w:rPr>
        <w:t>3：</w:t>
      </w:r>
    </w:p>
    <w:p>
      <w:pPr>
        <w:numPr>
          <w:ilvl w:val="0"/>
          <w:numId w:val="0"/>
        </w:numPr>
        <w:spacing w:line="360" w:lineRule="auto"/>
        <w:ind w:firstLine="2811" w:firstLineChars="1000"/>
        <w:rPr>
          <w:rFonts w:hint="eastAsia" w:ascii="宋体" w:hAnsi="宋体"/>
          <w:sz w:val="24"/>
          <w:szCs w:val="24"/>
          <w:lang w:eastAsia="zh-CN"/>
        </w:rPr>
      </w:pPr>
      <w:r>
        <w:rPr>
          <w:rFonts w:hint="eastAsia" w:ascii="宋体" w:hAnsi="宋体"/>
          <w:b/>
          <w:bCs/>
          <w:sz w:val="28"/>
          <w:szCs w:val="28"/>
          <w:lang w:eastAsia="zh-CN"/>
        </w:rPr>
        <w:t>评分细则</w:t>
      </w:r>
      <w:r>
        <w:rPr>
          <w:rFonts w:hint="eastAsia" w:ascii="宋体" w:hAnsi="宋体"/>
          <w:b/>
          <w:bCs/>
          <w:sz w:val="28"/>
          <w:szCs w:val="28"/>
          <w:lang w:val="en-US" w:eastAsia="zh-CN"/>
        </w:rPr>
        <w:t xml:space="preserve">   </w:t>
      </w:r>
      <w:r>
        <w:rPr>
          <w:rFonts w:hint="eastAsia" w:ascii="宋体" w:hAnsi="宋体"/>
          <w:sz w:val="24"/>
          <w:szCs w:val="24"/>
          <w:lang w:val="en-US" w:eastAsia="zh-CN"/>
        </w:rPr>
        <w:t xml:space="preserve">                     </w:t>
      </w:r>
    </w:p>
    <w:tbl>
      <w:tblPr>
        <w:tblStyle w:val="3"/>
        <w:tblpPr w:leftFromText="180" w:rightFromText="180" w:vertAnchor="page" w:horzAnchor="page" w:tblpX="1881" w:tblpY="2416"/>
        <w:tblOverlap w:val="never"/>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561"/>
        <w:gridCol w:w="3710"/>
        <w:gridCol w:w="127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577" w:type="dxa"/>
            <w:noWrap w:val="0"/>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序号</w:t>
            </w:r>
          </w:p>
        </w:tc>
        <w:tc>
          <w:tcPr>
            <w:tcW w:w="1119" w:type="dxa"/>
            <w:noWrap w:val="0"/>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评分因素</w:t>
            </w:r>
          </w:p>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及权重</w:t>
            </w:r>
          </w:p>
        </w:tc>
        <w:tc>
          <w:tcPr>
            <w:tcW w:w="561" w:type="dxa"/>
            <w:noWrap w:val="0"/>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分　值</w:t>
            </w:r>
          </w:p>
        </w:tc>
        <w:tc>
          <w:tcPr>
            <w:tcW w:w="3710" w:type="dxa"/>
            <w:noWrap w:val="0"/>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评分标准</w:t>
            </w:r>
          </w:p>
        </w:tc>
        <w:tc>
          <w:tcPr>
            <w:tcW w:w="1277" w:type="dxa"/>
            <w:noWrap w:val="0"/>
            <w:vAlign w:val="center"/>
          </w:tcPr>
          <w:p>
            <w:pPr>
              <w:spacing w:line="400" w:lineRule="exact"/>
              <w:jc w:val="center"/>
              <w:rPr>
                <w:rFonts w:ascii="仿宋" w:hAnsi="仿宋" w:eastAsia="仿宋" w:cs="宋体"/>
                <w:kern w:val="0"/>
                <w:sz w:val="24"/>
              </w:rPr>
            </w:pPr>
            <w:r>
              <w:rPr>
                <w:rFonts w:hint="eastAsia" w:ascii="仿宋" w:hAnsi="仿宋" w:eastAsia="仿宋" w:cs="宋体"/>
                <w:kern w:val="0"/>
                <w:sz w:val="24"/>
              </w:rPr>
              <w:t>备注</w:t>
            </w:r>
          </w:p>
        </w:tc>
        <w:tc>
          <w:tcPr>
            <w:tcW w:w="1277" w:type="dxa"/>
            <w:noWrap w:val="0"/>
            <w:vAlign w:val="center"/>
          </w:tcPr>
          <w:p>
            <w:pPr>
              <w:spacing w:line="400" w:lineRule="exact"/>
              <w:jc w:val="center"/>
              <w:rPr>
                <w:rFonts w:ascii="仿宋" w:hAnsi="仿宋" w:eastAsia="仿宋" w:cs="宋体"/>
                <w:kern w:val="0"/>
                <w:sz w:val="24"/>
              </w:rPr>
            </w:pPr>
            <w:r>
              <w:rPr>
                <w:rFonts w:hint="eastAsia" w:ascii="仿宋" w:hAnsi="仿宋" w:eastAsia="仿宋" w:cs="宋体"/>
                <w:kern w:val="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577" w:type="dxa"/>
            <w:noWrap w:val="0"/>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1</w:t>
            </w:r>
          </w:p>
        </w:tc>
        <w:tc>
          <w:tcPr>
            <w:tcW w:w="1119" w:type="dxa"/>
            <w:noWrap w:val="0"/>
            <w:vAlign w:val="center"/>
          </w:tcPr>
          <w:p>
            <w:pPr>
              <w:rPr>
                <w:rFonts w:ascii="仿宋" w:hAnsi="仿宋" w:eastAsia="仿宋" w:cs="宋体"/>
                <w:kern w:val="0"/>
                <w:sz w:val="24"/>
              </w:rPr>
            </w:pPr>
            <w:r>
              <w:rPr>
                <w:rFonts w:hint="eastAsia" w:ascii="仿宋" w:hAnsi="仿宋" w:eastAsia="仿宋" w:cs="宋体"/>
                <w:kern w:val="0"/>
                <w:sz w:val="24"/>
              </w:rPr>
              <w:t>报价3</w:t>
            </w:r>
            <w:r>
              <w:rPr>
                <w:rFonts w:hint="eastAsia" w:ascii="仿宋" w:hAnsi="仿宋" w:eastAsia="仿宋" w:cs="宋体"/>
                <w:kern w:val="0"/>
                <w:sz w:val="24"/>
                <w:lang w:val="en-US" w:eastAsia="zh-CN"/>
              </w:rPr>
              <w:t>5</w:t>
            </w:r>
            <w:r>
              <w:rPr>
                <w:rFonts w:hint="eastAsia" w:ascii="仿宋" w:hAnsi="仿宋" w:eastAsia="仿宋" w:cs="宋体"/>
                <w:kern w:val="0"/>
                <w:sz w:val="24"/>
              </w:rPr>
              <w:t>%</w:t>
            </w:r>
          </w:p>
          <w:p>
            <w:pPr>
              <w:rPr>
                <w:rFonts w:ascii="仿宋" w:hAnsi="仿宋" w:eastAsia="仿宋" w:cs="宋体"/>
                <w:kern w:val="0"/>
                <w:sz w:val="24"/>
              </w:rPr>
            </w:pPr>
            <w:r>
              <w:rPr>
                <w:rFonts w:hint="eastAsia" w:ascii="仿宋" w:hAnsi="仿宋" w:eastAsia="仿宋" w:cs="宋体"/>
                <w:kern w:val="0"/>
                <w:sz w:val="24"/>
              </w:rPr>
              <w:t>（主要评分因素）</w:t>
            </w:r>
          </w:p>
        </w:tc>
        <w:tc>
          <w:tcPr>
            <w:tcW w:w="561" w:type="dxa"/>
            <w:noWrap w:val="0"/>
            <w:vAlign w:val="center"/>
          </w:tcPr>
          <w:p>
            <w:pPr>
              <w:rPr>
                <w:rFonts w:ascii="仿宋" w:hAnsi="仿宋" w:eastAsia="仿宋" w:cs="宋体"/>
                <w:kern w:val="0"/>
                <w:sz w:val="24"/>
              </w:rPr>
            </w:pPr>
            <w:r>
              <w:rPr>
                <w:rFonts w:hint="eastAsia" w:ascii="仿宋" w:hAnsi="仿宋" w:eastAsia="仿宋" w:cs="宋体"/>
                <w:kern w:val="0"/>
                <w:sz w:val="24"/>
              </w:rPr>
              <w:t>3</w:t>
            </w:r>
            <w:r>
              <w:rPr>
                <w:rFonts w:hint="eastAsia" w:ascii="仿宋" w:hAnsi="仿宋" w:eastAsia="仿宋" w:cs="宋体"/>
                <w:kern w:val="0"/>
                <w:sz w:val="24"/>
                <w:lang w:val="en-US" w:eastAsia="zh-CN"/>
              </w:rPr>
              <w:t>5</w:t>
            </w:r>
            <w:r>
              <w:rPr>
                <w:rFonts w:hint="eastAsia" w:ascii="仿宋" w:hAnsi="仿宋" w:eastAsia="仿宋" w:cs="宋体"/>
                <w:kern w:val="0"/>
                <w:sz w:val="24"/>
              </w:rPr>
              <w:t>分</w:t>
            </w:r>
          </w:p>
        </w:tc>
        <w:tc>
          <w:tcPr>
            <w:tcW w:w="3710" w:type="dxa"/>
            <w:noWrap w:val="0"/>
            <w:vAlign w:val="center"/>
          </w:tcPr>
          <w:p>
            <w:pPr>
              <w:rPr>
                <w:rFonts w:ascii="仿宋" w:hAnsi="仿宋" w:eastAsia="仿宋" w:cs="宋体"/>
                <w:kern w:val="0"/>
                <w:sz w:val="24"/>
              </w:rPr>
            </w:pPr>
            <w:r>
              <w:rPr>
                <w:rFonts w:hint="eastAsia" w:ascii="仿宋" w:hAnsi="仿宋" w:eastAsia="仿宋" w:cs="宋体"/>
                <w:kern w:val="0"/>
                <w:sz w:val="24"/>
              </w:rPr>
              <w:t>满足招标文件要求且投标价格最低的投标报价为评标基准价，其价格分为满分。其他投标人的价格分统一按照下列公式计算：投标报价得分=(评标基准价／投标报价)* 3</w:t>
            </w:r>
            <w:r>
              <w:rPr>
                <w:rFonts w:hint="eastAsia" w:ascii="仿宋" w:hAnsi="仿宋" w:eastAsia="仿宋" w:cs="宋体"/>
                <w:kern w:val="0"/>
                <w:sz w:val="24"/>
                <w:lang w:val="en-US" w:eastAsia="zh-CN"/>
              </w:rPr>
              <w:t>5</w:t>
            </w:r>
            <w:r>
              <w:rPr>
                <w:rFonts w:hint="eastAsia" w:ascii="仿宋" w:hAnsi="仿宋" w:eastAsia="仿宋" w:cs="宋体"/>
                <w:kern w:val="0"/>
                <w:sz w:val="24"/>
              </w:rPr>
              <w:t>分*100%</w:t>
            </w:r>
          </w:p>
        </w:tc>
        <w:tc>
          <w:tcPr>
            <w:tcW w:w="1277" w:type="dxa"/>
            <w:noWrap w:val="0"/>
            <w:vAlign w:val="center"/>
          </w:tcPr>
          <w:p>
            <w:pPr>
              <w:rPr>
                <w:rFonts w:ascii="仿宋" w:hAnsi="仿宋" w:eastAsia="仿宋" w:cs="宋体"/>
                <w:kern w:val="0"/>
                <w:sz w:val="24"/>
              </w:rPr>
            </w:pPr>
            <w:r>
              <w:rPr>
                <w:rFonts w:hint="eastAsia" w:ascii="仿宋" w:hAnsi="仿宋" w:eastAsia="仿宋" w:cs="宋体"/>
                <w:kern w:val="0"/>
                <w:sz w:val="24"/>
              </w:rPr>
              <w:t>/</w:t>
            </w:r>
          </w:p>
        </w:tc>
        <w:tc>
          <w:tcPr>
            <w:tcW w:w="1277" w:type="dxa"/>
            <w:noWrap w:val="0"/>
            <w:vAlign w:val="center"/>
          </w:tcPr>
          <w:p>
            <w:pPr>
              <w:rPr>
                <w:rFonts w:ascii="仿宋" w:hAnsi="仿宋" w:eastAsia="仿宋" w:cs="宋体"/>
                <w:kern w:val="0"/>
                <w:sz w:val="24"/>
              </w:rPr>
            </w:pPr>
            <w:r>
              <w:rPr>
                <w:rFonts w:hint="eastAsia" w:ascii="仿宋" w:hAnsi="仿宋" w:eastAsia="仿宋" w:cs="宋体"/>
                <w:kern w:val="0"/>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577" w:type="dxa"/>
            <w:noWrap w:val="0"/>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2</w:t>
            </w:r>
          </w:p>
        </w:tc>
        <w:tc>
          <w:tcPr>
            <w:tcW w:w="1119" w:type="dxa"/>
            <w:noWrap w:val="0"/>
            <w:vAlign w:val="center"/>
          </w:tcPr>
          <w:p>
            <w:pPr>
              <w:rPr>
                <w:rFonts w:ascii="仿宋" w:hAnsi="仿宋" w:eastAsia="仿宋" w:cs="宋体"/>
                <w:kern w:val="0"/>
                <w:sz w:val="24"/>
              </w:rPr>
            </w:pPr>
            <w:r>
              <w:rPr>
                <w:rFonts w:hint="eastAsia" w:ascii="仿宋" w:hAnsi="仿宋" w:eastAsia="仿宋" w:cs="宋体"/>
                <w:kern w:val="0"/>
                <w:sz w:val="24"/>
              </w:rPr>
              <w:t>商务、技术、服务要求</w:t>
            </w:r>
            <w:r>
              <w:rPr>
                <w:rFonts w:hint="eastAsia" w:ascii="仿宋" w:hAnsi="仿宋" w:eastAsia="仿宋" w:cs="宋体"/>
                <w:kern w:val="0"/>
                <w:sz w:val="24"/>
                <w:lang w:val="en-US" w:eastAsia="zh-CN"/>
              </w:rPr>
              <w:t>50</w:t>
            </w:r>
            <w:r>
              <w:rPr>
                <w:rFonts w:hint="eastAsia" w:ascii="仿宋" w:hAnsi="仿宋" w:eastAsia="仿宋" w:cs="宋体"/>
                <w:kern w:val="0"/>
                <w:sz w:val="24"/>
              </w:rPr>
              <w:t>%（主要评分因素）</w:t>
            </w:r>
          </w:p>
        </w:tc>
        <w:tc>
          <w:tcPr>
            <w:tcW w:w="561" w:type="dxa"/>
            <w:noWrap w:val="0"/>
            <w:vAlign w:val="center"/>
          </w:tcPr>
          <w:p>
            <w:pPr>
              <w:rPr>
                <w:rFonts w:ascii="仿宋" w:hAnsi="仿宋" w:eastAsia="仿宋" w:cs="宋体"/>
                <w:kern w:val="0"/>
                <w:sz w:val="24"/>
              </w:rPr>
            </w:pPr>
            <w:r>
              <w:rPr>
                <w:rFonts w:hint="eastAsia" w:ascii="仿宋" w:hAnsi="仿宋" w:eastAsia="仿宋" w:cs="宋体"/>
                <w:kern w:val="0"/>
                <w:sz w:val="24"/>
                <w:lang w:val="en-US" w:eastAsia="zh-CN"/>
              </w:rPr>
              <w:t>50</w:t>
            </w:r>
            <w:r>
              <w:rPr>
                <w:rFonts w:hint="eastAsia" w:ascii="仿宋" w:hAnsi="仿宋" w:eastAsia="仿宋" w:cs="宋体"/>
                <w:kern w:val="0"/>
                <w:sz w:val="24"/>
              </w:rPr>
              <w:t>分</w:t>
            </w:r>
          </w:p>
        </w:tc>
        <w:tc>
          <w:tcPr>
            <w:tcW w:w="3710" w:type="dxa"/>
            <w:noWrap w:val="0"/>
            <w:vAlign w:val="center"/>
          </w:tcPr>
          <w:p>
            <w:pPr>
              <w:rPr>
                <w:rFonts w:ascii="仿宋" w:hAnsi="仿宋" w:eastAsia="仿宋" w:cs="宋体"/>
                <w:kern w:val="0"/>
                <w:sz w:val="24"/>
              </w:rPr>
            </w:pPr>
            <w:r>
              <w:rPr>
                <w:rFonts w:hint="eastAsia" w:ascii="仿宋" w:hAnsi="仿宋" w:eastAsia="仿宋" w:cs="宋体"/>
                <w:kern w:val="0"/>
                <w:sz w:val="24"/>
              </w:rPr>
              <w:t>技术指标、商务要求低于招标要求的（负偏离），</w:t>
            </w:r>
            <w:r>
              <w:rPr>
                <w:rFonts w:hint="eastAsia" w:ascii="仿宋" w:hAnsi="仿宋" w:eastAsia="仿宋" w:cs="仿宋"/>
                <w:kern w:val="0"/>
                <w:sz w:val="24"/>
              </w:rPr>
              <w:t>*</w:t>
            </w:r>
            <w:r>
              <w:rPr>
                <w:rFonts w:hint="eastAsia" w:ascii="仿宋" w:hAnsi="仿宋" w:eastAsia="仿宋" w:cs="宋体"/>
                <w:kern w:val="0"/>
                <w:sz w:val="24"/>
              </w:rPr>
              <w:t>条款负偏离一项扣5分，一般条款负偏离一项扣2分。</w:t>
            </w:r>
          </w:p>
        </w:tc>
        <w:tc>
          <w:tcPr>
            <w:tcW w:w="1277" w:type="dxa"/>
            <w:noWrap w:val="0"/>
            <w:vAlign w:val="center"/>
          </w:tcPr>
          <w:p>
            <w:pP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专家根据标书参数响应表进行打分</w:t>
            </w:r>
          </w:p>
        </w:tc>
        <w:tc>
          <w:tcPr>
            <w:tcW w:w="1277" w:type="dxa"/>
            <w:noWrap w:val="0"/>
            <w:vAlign w:val="center"/>
          </w:tcPr>
          <w:p>
            <w:pPr>
              <w:rPr>
                <w:rFonts w:ascii="仿宋" w:hAnsi="仿宋" w:eastAsia="仿宋" w:cs="宋体"/>
                <w:kern w:val="0"/>
                <w:sz w:val="24"/>
              </w:rPr>
            </w:pPr>
            <w:r>
              <w:rPr>
                <w:rFonts w:hint="eastAsia" w:ascii="仿宋" w:hAnsi="仿宋" w:eastAsia="仿宋" w:cs="宋体"/>
                <w:kern w:val="0"/>
                <w:sz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577" w:type="dxa"/>
            <w:noWrap w:val="0"/>
            <w:vAlign w:val="center"/>
          </w:tcPr>
          <w:p>
            <w:pPr>
              <w:spacing w:line="400" w:lineRule="exact"/>
              <w:ind w:firstLine="28"/>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3</w:t>
            </w:r>
          </w:p>
        </w:tc>
        <w:tc>
          <w:tcPr>
            <w:tcW w:w="1119" w:type="dxa"/>
            <w:noWrap w:val="0"/>
            <w:vAlign w:val="center"/>
          </w:tcPr>
          <w:p>
            <w:pPr>
              <w:rPr>
                <w:rFonts w:ascii="仿宋" w:hAnsi="仿宋" w:eastAsia="仿宋" w:cs="宋体"/>
                <w:kern w:val="0"/>
                <w:sz w:val="24"/>
              </w:rPr>
            </w:pPr>
            <w:r>
              <w:rPr>
                <w:rFonts w:hint="eastAsia" w:ascii="仿宋" w:hAnsi="仿宋" w:eastAsia="仿宋" w:cs="宋体"/>
                <w:kern w:val="0"/>
                <w:sz w:val="24"/>
              </w:rPr>
              <w:t>售后服务</w:t>
            </w:r>
            <w:r>
              <w:rPr>
                <w:rFonts w:hint="eastAsia" w:ascii="仿宋" w:hAnsi="仿宋" w:eastAsia="仿宋" w:cs="宋体"/>
                <w:kern w:val="0"/>
                <w:sz w:val="24"/>
                <w:lang w:val="en-US" w:eastAsia="zh-CN"/>
              </w:rPr>
              <w:t>10</w:t>
            </w:r>
            <w:r>
              <w:rPr>
                <w:rFonts w:hint="eastAsia" w:ascii="仿宋" w:hAnsi="仿宋" w:eastAsia="仿宋" w:cs="宋体"/>
                <w:kern w:val="0"/>
                <w:sz w:val="24"/>
              </w:rPr>
              <w:t>%</w:t>
            </w:r>
          </w:p>
        </w:tc>
        <w:tc>
          <w:tcPr>
            <w:tcW w:w="561" w:type="dxa"/>
            <w:noWrap w:val="0"/>
            <w:vAlign w:val="center"/>
          </w:tcPr>
          <w:p>
            <w:pPr>
              <w:rPr>
                <w:rFonts w:ascii="仿宋" w:hAnsi="仿宋" w:eastAsia="仿宋" w:cs="宋体"/>
                <w:kern w:val="0"/>
                <w:sz w:val="24"/>
              </w:rPr>
            </w:pPr>
            <w:r>
              <w:rPr>
                <w:rFonts w:hint="eastAsia" w:ascii="仿宋" w:hAnsi="仿宋" w:eastAsia="仿宋" w:cs="宋体"/>
                <w:kern w:val="0"/>
                <w:sz w:val="24"/>
                <w:lang w:val="en-US" w:eastAsia="zh-CN"/>
              </w:rPr>
              <w:t>10</w:t>
            </w:r>
            <w:r>
              <w:rPr>
                <w:rFonts w:hint="eastAsia" w:ascii="仿宋" w:hAnsi="仿宋" w:eastAsia="仿宋" w:cs="宋体"/>
                <w:kern w:val="0"/>
                <w:sz w:val="24"/>
              </w:rPr>
              <w:t>分</w:t>
            </w:r>
          </w:p>
        </w:tc>
        <w:tc>
          <w:tcPr>
            <w:tcW w:w="3710" w:type="dxa"/>
            <w:noWrap w:val="0"/>
            <w:vAlign w:val="center"/>
          </w:tcPr>
          <w:p>
            <w:pPr>
              <w:rPr>
                <w:rFonts w:ascii="仿宋" w:hAnsi="仿宋" w:eastAsia="仿宋" w:cs="宋体"/>
                <w:kern w:val="0"/>
                <w:sz w:val="24"/>
              </w:rPr>
            </w:pPr>
            <w:r>
              <w:rPr>
                <w:rFonts w:hint="eastAsia" w:ascii="仿宋" w:hAnsi="仿宋" w:eastAsia="仿宋" w:cs="宋体"/>
                <w:kern w:val="0"/>
                <w:sz w:val="24"/>
              </w:rPr>
              <w:t>根据投标人承诺的质量保证范围</w:t>
            </w:r>
            <w:r>
              <w:rPr>
                <w:rFonts w:hint="eastAsia" w:ascii="仿宋" w:hAnsi="仿宋" w:eastAsia="仿宋" w:cs="宋体"/>
                <w:kern w:val="0"/>
                <w:sz w:val="24"/>
                <w:lang w:eastAsia="zh-CN"/>
              </w:rPr>
              <w:t>、时间</w:t>
            </w:r>
            <w:r>
              <w:rPr>
                <w:rFonts w:hint="eastAsia" w:ascii="仿宋" w:hAnsi="仿宋" w:eastAsia="仿宋" w:cs="宋体"/>
                <w:kern w:val="0"/>
                <w:sz w:val="24"/>
              </w:rPr>
              <w:t>，本地化售后服务，维修响应时间，人员培训计划</w:t>
            </w:r>
            <w:r>
              <w:rPr>
                <w:rFonts w:hint="eastAsia" w:ascii="仿宋" w:hAnsi="仿宋" w:eastAsia="仿宋" w:cs="宋体"/>
                <w:kern w:val="0"/>
                <w:sz w:val="24"/>
                <w:lang w:eastAsia="zh-CN"/>
              </w:rPr>
              <w:t>、增值服务</w:t>
            </w:r>
            <w:r>
              <w:rPr>
                <w:rFonts w:hint="eastAsia" w:ascii="仿宋" w:hAnsi="仿宋" w:eastAsia="仿宋" w:cs="宋体"/>
                <w:kern w:val="0"/>
                <w:sz w:val="24"/>
              </w:rPr>
              <w:t>等进行综合分析比较</w:t>
            </w:r>
            <w:r>
              <w:rPr>
                <w:rFonts w:hint="eastAsia" w:ascii="仿宋" w:hAnsi="仿宋" w:eastAsia="仿宋" w:cs="宋体"/>
                <w:kern w:val="0"/>
                <w:sz w:val="24"/>
                <w:lang w:eastAsia="zh-CN"/>
              </w:rPr>
              <w:t>后进行打分</w:t>
            </w:r>
            <w:r>
              <w:rPr>
                <w:rFonts w:hint="eastAsia" w:ascii="仿宋" w:hAnsi="仿宋" w:eastAsia="仿宋" w:cs="宋体"/>
                <w:kern w:val="0"/>
                <w:sz w:val="24"/>
              </w:rPr>
              <w:t>，</w:t>
            </w:r>
            <w:r>
              <w:rPr>
                <w:rFonts w:hint="eastAsia" w:ascii="仿宋" w:hAnsi="仿宋" w:eastAsia="仿宋" w:cs="宋体"/>
                <w:kern w:val="0"/>
                <w:sz w:val="24"/>
                <w:lang w:eastAsia="zh-CN"/>
              </w:rPr>
              <w:t>没有以上内容</w:t>
            </w:r>
            <w:r>
              <w:rPr>
                <w:rFonts w:hint="eastAsia" w:ascii="仿宋" w:hAnsi="仿宋" w:eastAsia="仿宋" w:cs="宋体"/>
                <w:kern w:val="0"/>
                <w:sz w:val="24"/>
              </w:rPr>
              <w:t>不得分。</w:t>
            </w:r>
          </w:p>
        </w:tc>
        <w:tc>
          <w:tcPr>
            <w:tcW w:w="1277" w:type="dxa"/>
            <w:noWrap w:val="0"/>
            <w:vAlign w:val="center"/>
          </w:tcPr>
          <w:p>
            <w:pPr>
              <w:rPr>
                <w:rFonts w:ascii="仿宋" w:hAnsi="仿宋" w:eastAsia="仿宋" w:cs="宋体"/>
                <w:kern w:val="0"/>
                <w:sz w:val="24"/>
              </w:rPr>
            </w:pPr>
            <w:r>
              <w:rPr>
                <w:rFonts w:hint="eastAsia" w:ascii="仿宋" w:hAnsi="仿宋" w:eastAsia="仿宋" w:cs="宋体"/>
                <w:kern w:val="0"/>
                <w:sz w:val="24"/>
              </w:rPr>
              <w:t>/</w:t>
            </w:r>
          </w:p>
        </w:tc>
        <w:tc>
          <w:tcPr>
            <w:tcW w:w="1277" w:type="dxa"/>
            <w:noWrap w:val="0"/>
            <w:vAlign w:val="center"/>
          </w:tcPr>
          <w:p>
            <w:pPr>
              <w:rPr>
                <w:rFonts w:ascii="仿宋" w:hAnsi="仿宋" w:eastAsia="仿宋" w:cs="宋体"/>
                <w:kern w:val="0"/>
                <w:sz w:val="24"/>
              </w:rPr>
            </w:pPr>
            <w:r>
              <w:rPr>
                <w:rFonts w:hint="eastAsia" w:ascii="仿宋" w:hAnsi="仿宋" w:eastAsia="仿宋" w:cs="宋体"/>
                <w:kern w:val="0"/>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577" w:type="dxa"/>
            <w:noWrap w:val="0"/>
            <w:vAlign w:val="center"/>
          </w:tcPr>
          <w:p>
            <w:pPr>
              <w:spacing w:line="400" w:lineRule="exact"/>
              <w:ind w:firstLine="28"/>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4</w:t>
            </w:r>
          </w:p>
        </w:tc>
        <w:tc>
          <w:tcPr>
            <w:tcW w:w="1119" w:type="dxa"/>
            <w:noWrap w:val="0"/>
            <w:vAlign w:val="center"/>
          </w:tcPr>
          <w:p>
            <w:pPr>
              <w:rPr>
                <w:rFonts w:ascii="仿宋" w:hAnsi="仿宋" w:eastAsia="仿宋" w:cs="宋体"/>
                <w:kern w:val="0"/>
                <w:sz w:val="24"/>
              </w:rPr>
            </w:pPr>
            <w:r>
              <w:rPr>
                <w:rFonts w:hint="eastAsia" w:ascii="仿宋" w:hAnsi="仿宋" w:eastAsia="仿宋" w:cs="宋体"/>
                <w:kern w:val="0"/>
                <w:sz w:val="24"/>
              </w:rPr>
              <w:t>节能、环境标志、无线局域网产品</w:t>
            </w:r>
            <w:r>
              <w:rPr>
                <w:rFonts w:hint="eastAsia" w:ascii="仿宋" w:hAnsi="仿宋" w:eastAsia="仿宋" w:cs="宋体"/>
                <w:kern w:val="0"/>
                <w:sz w:val="24"/>
                <w:lang w:val="en-US" w:eastAsia="zh-CN"/>
              </w:rPr>
              <w:t>2</w:t>
            </w:r>
            <w:r>
              <w:rPr>
                <w:rFonts w:hint="eastAsia" w:ascii="仿宋" w:hAnsi="仿宋" w:eastAsia="仿宋" w:cs="宋体"/>
                <w:kern w:val="0"/>
                <w:sz w:val="24"/>
              </w:rPr>
              <w:t>%</w:t>
            </w:r>
          </w:p>
        </w:tc>
        <w:tc>
          <w:tcPr>
            <w:tcW w:w="561" w:type="dxa"/>
            <w:noWrap w:val="0"/>
            <w:vAlign w:val="center"/>
          </w:tcPr>
          <w:p>
            <w:pPr>
              <w:rPr>
                <w:rFonts w:ascii="仿宋" w:hAnsi="仿宋" w:eastAsia="仿宋" w:cs="宋体"/>
                <w:kern w:val="0"/>
                <w:sz w:val="24"/>
              </w:rPr>
            </w:pPr>
            <w:r>
              <w:rPr>
                <w:rFonts w:hint="eastAsia" w:ascii="仿宋" w:hAnsi="仿宋" w:eastAsia="仿宋" w:cs="宋体"/>
                <w:kern w:val="0"/>
                <w:sz w:val="24"/>
                <w:lang w:val="en-US" w:eastAsia="zh-CN"/>
              </w:rPr>
              <w:t>2</w:t>
            </w:r>
            <w:r>
              <w:rPr>
                <w:rFonts w:hint="eastAsia" w:ascii="仿宋" w:hAnsi="仿宋" w:eastAsia="仿宋" w:cs="宋体"/>
                <w:kern w:val="0"/>
                <w:sz w:val="24"/>
              </w:rPr>
              <w:t>分</w:t>
            </w:r>
          </w:p>
        </w:tc>
        <w:tc>
          <w:tcPr>
            <w:tcW w:w="3710" w:type="dxa"/>
            <w:noWrap w:val="0"/>
            <w:vAlign w:val="center"/>
          </w:tcPr>
          <w:p>
            <w:pPr>
              <w:rPr>
                <w:rFonts w:ascii="仿宋" w:hAnsi="仿宋" w:eastAsia="仿宋" w:cs="宋体"/>
                <w:kern w:val="0"/>
                <w:sz w:val="24"/>
              </w:rPr>
            </w:pPr>
            <w:r>
              <w:rPr>
                <w:rFonts w:hint="eastAsia" w:ascii="仿宋" w:hAnsi="仿宋" w:eastAsia="仿宋" w:cs="宋体"/>
                <w:kern w:val="0"/>
                <w:sz w:val="24"/>
              </w:rPr>
              <w:t>投标人投标产品中每有一项为节能产品或者环境标志产品或者无线局域网产品政府采购清单中的产品的得</w:t>
            </w:r>
            <w:r>
              <w:rPr>
                <w:rFonts w:hint="eastAsia" w:ascii="仿宋" w:hAnsi="仿宋" w:eastAsia="仿宋" w:cs="宋体"/>
                <w:kern w:val="0"/>
                <w:sz w:val="24"/>
                <w:lang w:val="en-US" w:eastAsia="zh-CN"/>
              </w:rPr>
              <w:t>1</w:t>
            </w:r>
            <w:r>
              <w:rPr>
                <w:rFonts w:hint="eastAsia" w:ascii="仿宋" w:hAnsi="仿宋" w:eastAsia="仿宋" w:cs="宋体"/>
                <w:kern w:val="0"/>
                <w:sz w:val="24"/>
              </w:rPr>
              <w:t>分，非政府采购节能、环境标志产品的、无线局域网产品的不得分。本项最多得</w:t>
            </w:r>
            <w:r>
              <w:rPr>
                <w:rFonts w:hint="eastAsia" w:ascii="仿宋" w:hAnsi="仿宋" w:eastAsia="仿宋" w:cs="宋体"/>
                <w:kern w:val="0"/>
                <w:sz w:val="24"/>
                <w:lang w:val="en-US" w:eastAsia="zh-CN"/>
              </w:rPr>
              <w:t>2</w:t>
            </w:r>
            <w:r>
              <w:rPr>
                <w:rFonts w:hint="eastAsia" w:ascii="仿宋" w:hAnsi="仿宋" w:eastAsia="仿宋" w:cs="宋体"/>
                <w:kern w:val="0"/>
                <w:sz w:val="24"/>
              </w:rPr>
              <w:t>分。</w:t>
            </w:r>
          </w:p>
        </w:tc>
        <w:tc>
          <w:tcPr>
            <w:tcW w:w="1277" w:type="dxa"/>
            <w:noWrap w:val="0"/>
            <w:vAlign w:val="center"/>
          </w:tcPr>
          <w:p>
            <w:pPr>
              <w:rPr>
                <w:rFonts w:ascii="仿宋" w:hAnsi="仿宋" w:eastAsia="仿宋" w:cs="宋体"/>
                <w:kern w:val="0"/>
                <w:sz w:val="24"/>
              </w:rPr>
            </w:pPr>
            <w:r>
              <w:rPr>
                <w:rFonts w:hint="eastAsia" w:ascii="仿宋" w:hAnsi="仿宋" w:eastAsia="仿宋" w:cs="宋体"/>
                <w:kern w:val="0"/>
                <w:sz w:val="24"/>
              </w:rPr>
              <w:t>提供产品对应的清单复印件，以《中国政府采购网》最新颁布清单为准。</w:t>
            </w:r>
          </w:p>
        </w:tc>
        <w:tc>
          <w:tcPr>
            <w:tcW w:w="1277" w:type="dxa"/>
            <w:noWrap w:val="0"/>
            <w:vAlign w:val="center"/>
          </w:tcPr>
          <w:p>
            <w:pPr>
              <w:rPr>
                <w:rFonts w:ascii="仿宋" w:hAnsi="仿宋" w:eastAsia="仿宋" w:cs="宋体"/>
                <w:kern w:val="0"/>
                <w:sz w:val="24"/>
              </w:rPr>
            </w:pPr>
            <w:r>
              <w:rPr>
                <w:rFonts w:hint="eastAsia" w:ascii="仿宋" w:hAnsi="仿宋" w:eastAsia="仿宋" w:cs="宋体"/>
                <w:kern w:val="0"/>
                <w:sz w:val="24"/>
              </w:rPr>
              <w:t>政策合同类评分因素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577" w:type="dxa"/>
            <w:noWrap w:val="0"/>
            <w:vAlign w:val="center"/>
          </w:tcPr>
          <w:p>
            <w:pPr>
              <w:spacing w:line="400" w:lineRule="exact"/>
              <w:ind w:firstLine="28"/>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5</w:t>
            </w:r>
          </w:p>
        </w:tc>
        <w:tc>
          <w:tcPr>
            <w:tcW w:w="1119" w:type="dxa"/>
            <w:noWrap w:val="0"/>
            <w:vAlign w:val="center"/>
          </w:tcPr>
          <w:p>
            <w:pPr>
              <w:rPr>
                <w:rFonts w:ascii="仿宋" w:hAnsi="仿宋" w:eastAsia="仿宋" w:cs="宋体"/>
                <w:kern w:val="0"/>
                <w:sz w:val="24"/>
              </w:rPr>
            </w:pPr>
            <w:r>
              <w:rPr>
                <w:rFonts w:hint="eastAsia" w:ascii="仿宋" w:hAnsi="仿宋" w:eastAsia="仿宋" w:cs="宋体"/>
                <w:kern w:val="0"/>
                <w:sz w:val="24"/>
              </w:rPr>
              <w:t>投标文件的规范性</w:t>
            </w:r>
            <w:r>
              <w:rPr>
                <w:rFonts w:hint="eastAsia" w:ascii="仿宋" w:hAnsi="仿宋" w:eastAsia="仿宋" w:cs="宋体"/>
                <w:kern w:val="0"/>
                <w:sz w:val="24"/>
                <w:lang w:val="en-US" w:eastAsia="zh-CN"/>
              </w:rPr>
              <w:t>3</w:t>
            </w:r>
            <w:r>
              <w:rPr>
                <w:rFonts w:hint="eastAsia" w:ascii="仿宋" w:hAnsi="仿宋" w:eastAsia="仿宋" w:cs="宋体"/>
                <w:kern w:val="0"/>
                <w:sz w:val="24"/>
              </w:rPr>
              <w:t>%</w:t>
            </w:r>
          </w:p>
        </w:tc>
        <w:tc>
          <w:tcPr>
            <w:tcW w:w="561" w:type="dxa"/>
            <w:noWrap w:val="0"/>
            <w:vAlign w:val="center"/>
          </w:tcPr>
          <w:p>
            <w:pPr>
              <w:rPr>
                <w:rFonts w:hint="eastAsia" w:ascii="仿宋" w:hAnsi="仿宋" w:eastAsia="仿宋" w:cs="宋体"/>
                <w:kern w:val="0"/>
                <w:sz w:val="24"/>
                <w:lang w:eastAsia="zh-CN"/>
              </w:rPr>
            </w:pPr>
            <w:r>
              <w:rPr>
                <w:rFonts w:hint="eastAsia" w:ascii="仿宋" w:hAnsi="仿宋" w:eastAsia="仿宋" w:cs="宋体"/>
                <w:kern w:val="0"/>
                <w:sz w:val="24"/>
                <w:lang w:val="en-US" w:eastAsia="zh-CN"/>
              </w:rPr>
              <w:t>3</w:t>
            </w:r>
            <w:r>
              <w:rPr>
                <w:rFonts w:hint="eastAsia" w:ascii="仿宋" w:hAnsi="仿宋" w:eastAsia="仿宋" w:cs="宋体"/>
                <w:kern w:val="0"/>
                <w:sz w:val="24"/>
                <w:lang w:eastAsia="zh-CN"/>
              </w:rPr>
              <w:t>分</w:t>
            </w:r>
          </w:p>
        </w:tc>
        <w:tc>
          <w:tcPr>
            <w:tcW w:w="3710" w:type="dxa"/>
            <w:noWrap w:val="0"/>
            <w:vAlign w:val="center"/>
          </w:tcPr>
          <w:p>
            <w:pPr>
              <w:rPr>
                <w:rFonts w:hint="eastAsia" w:ascii="仿宋" w:hAnsi="仿宋" w:eastAsia="仿宋" w:cs="宋体"/>
                <w:kern w:val="0"/>
                <w:sz w:val="24"/>
                <w:lang w:eastAsia="zh-CN"/>
              </w:rPr>
            </w:pPr>
            <w:r>
              <w:rPr>
                <w:rFonts w:hint="eastAsia" w:ascii="仿宋" w:hAnsi="仿宋" w:eastAsia="仿宋" w:cs="宋体"/>
                <w:kern w:val="0"/>
                <w:sz w:val="24"/>
                <w:lang w:eastAsia="zh-CN"/>
              </w:rPr>
              <w:t>按照政府采购的要求制作</w:t>
            </w:r>
            <w:r>
              <w:rPr>
                <w:rFonts w:hint="eastAsia" w:ascii="仿宋" w:hAnsi="仿宋" w:eastAsia="仿宋" w:cs="宋体"/>
                <w:kern w:val="0"/>
                <w:sz w:val="24"/>
              </w:rPr>
              <w:t>投标文件</w:t>
            </w:r>
          </w:p>
        </w:tc>
        <w:tc>
          <w:tcPr>
            <w:tcW w:w="1277" w:type="dxa"/>
            <w:noWrap w:val="0"/>
            <w:vAlign w:val="center"/>
          </w:tcPr>
          <w:p>
            <w:pPr>
              <w:rPr>
                <w:rFonts w:ascii="仿宋" w:hAnsi="仿宋" w:eastAsia="仿宋" w:cs="宋体"/>
                <w:kern w:val="0"/>
                <w:sz w:val="24"/>
              </w:rPr>
            </w:pPr>
            <w:r>
              <w:rPr>
                <w:rFonts w:hint="eastAsia" w:ascii="仿宋" w:hAnsi="仿宋" w:eastAsia="仿宋" w:cs="宋体"/>
                <w:kern w:val="0"/>
                <w:sz w:val="24"/>
              </w:rPr>
              <w:t>/</w:t>
            </w:r>
          </w:p>
        </w:tc>
        <w:tc>
          <w:tcPr>
            <w:tcW w:w="1277" w:type="dxa"/>
            <w:noWrap w:val="0"/>
            <w:vAlign w:val="center"/>
          </w:tcPr>
          <w:p>
            <w:pPr>
              <w:rPr>
                <w:rFonts w:ascii="仿宋" w:hAnsi="仿宋" w:eastAsia="仿宋" w:cs="宋体"/>
                <w:kern w:val="0"/>
                <w:sz w:val="24"/>
              </w:rPr>
            </w:pPr>
            <w:r>
              <w:rPr>
                <w:rFonts w:hint="eastAsia" w:ascii="仿宋" w:hAnsi="仿宋" w:eastAsia="仿宋" w:cs="宋体"/>
                <w:kern w:val="0"/>
                <w:sz w:val="24"/>
              </w:rPr>
              <w:t>共同评分因素</w:t>
            </w:r>
          </w:p>
        </w:tc>
      </w:tr>
    </w:tbl>
    <w:p>
      <w:pPr>
        <w:rPr>
          <w:rFonts w:hint="eastAsia"/>
          <w:lang w:val="en-US" w:eastAsia="zh-CN"/>
        </w:rPr>
      </w:pPr>
    </w:p>
    <w:p>
      <w:bookmarkStart w:id="0" w:name="_GoBack"/>
      <w:bookmarkEnd w:id="0"/>
    </w:p>
    <w:sectPr>
      <w:footerReference r:id="rId3" w:type="default"/>
      <w:pgSz w:w="11906" w:h="16838"/>
      <w:pgMar w:top="1134" w:right="1418" w:bottom="851" w:left="141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450309"/>
                            <w:docPartObj>
                              <w:docPartGallery w:val="autotext"/>
                            </w:docPartObj>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8450309"/>
                      <w:docPartObj>
                        <w:docPartGallery w:val="autotext"/>
                      </w:docPartObj>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31769"/>
    <w:rsid w:val="5E931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2019-04-04T00:38:00Z</dcterms:created>
  <dc:creator>滚圈圈1392172603</dc:creator>
  <cp:lastModifiedBy>滚圈圈1392172603</cp:lastModifiedBy>
  <dcterms:modified xsi:type="dcterms:W3CDTF">2019-04-04T00:42:56Z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