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tbl>
      <w:tblPr>
        <w:tblStyle w:val="6"/>
        <w:tblpPr w:leftFromText="180" w:rightFromText="180" w:vertAnchor="page" w:horzAnchor="page" w:tblpX="1627" w:tblpY="3108"/>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19"/>
        <w:gridCol w:w="561"/>
        <w:gridCol w:w="3710"/>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119"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评分因素</w:t>
            </w:r>
          </w:p>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及权重</w:t>
            </w:r>
          </w:p>
        </w:tc>
        <w:tc>
          <w:tcPr>
            <w:tcW w:w="561"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分　值</w:t>
            </w:r>
          </w:p>
        </w:tc>
        <w:tc>
          <w:tcPr>
            <w:tcW w:w="3710"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评分标准</w:t>
            </w:r>
          </w:p>
        </w:tc>
        <w:tc>
          <w:tcPr>
            <w:tcW w:w="1277" w:type="dxa"/>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1277" w:type="dxa"/>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报价3</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（主要评分因素）</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满足招标文件要求且投标价格最低的投标报价为评标基准价，其价格分为满分。其他投标人的价格分统一按照下列公式计算：投标报价得分=(评标基准价／投标报价)* 3</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分*100%</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商务、技术、服务要求</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%（主要评分因素）</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技术指标、商务要求低于招标要求的（负偏离），*条款负偏离一项扣5分，一般条款负偏离一项扣2分。</w:t>
            </w:r>
          </w:p>
        </w:tc>
        <w:tc>
          <w:tcPr>
            <w:tcW w:w="1277" w:type="dxa"/>
            <w:vAlign w:val="center"/>
          </w:tcPr>
          <w:p>
            <w:pP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专家根据标书参数响应表进行打分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售后服务</w:t>
            </w: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根据投标人承诺的质量保证范围</w:t>
            </w:r>
            <w:r>
              <w:rPr>
                <w:rFonts w:hint="eastAsia" w:ascii="仿宋_GB2312" w:hAnsi="仿宋_GB2312" w:eastAsia="仿宋_GB2312" w:cs="仿宋_GB2312"/>
                <w:kern w:val="0"/>
                <w:sz w:val="24"/>
                <w:lang w:eastAsia="zh-CN"/>
              </w:rPr>
              <w:t>、时间</w:t>
            </w:r>
            <w:r>
              <w:rPr>
                <w:rFonts w:hint="eastAsia" w:ascii="仿宋_GB2312" w:hAnsi="仿宋_GB2312" w:eastAsia="仿宋_GB2312" w:cs="仿宋_GB2312"/>
                <w:kern w:val="0"/>
                <w:sz w:val="24"/>
              </w:rPr>
              <w:t>，本地化售后服务，维修响应时间，人员培训计划</w:t>
            </w:r>
            <w:r>
              <w:rPr>
                <w:rFonts w:hint="eastAsia" w:ascii="仿宋_GB2312" w:hAnsi="仿宋_GB2312" w:eastAsia="仿宋_GB2312" w:cs="仿宋_GB2312"/>
                <w:kern w:val="0"/>
                <w:sz w:val="24"/>
                <w:lang w:eastAsia="zh-CN"/>
              </w:rPr>
              <w:t>、增值服务</w:t>
            </w:r>
            <w:r>
              <w:rPr>
                <w:rFonts w:hint="eastAsia" w:ascii="仿宋_GB2312" w:hAnsi="仿宋_GB2312" w:eastAsia="仿宋_GB2312" w:cs="仿宋_GB2312"/>
                <w:kern w:val="0"/>
                <w:sz w:val="24"/>
              </w:rPr>
              <w:t>等进行综合分析比较</w:t>
            </w:r>
            <w:r>
              <w:rPr>
                <w:rFonts w:hint="eastAsia" w:ascii="仿宋_GB2312" w:hAnsi="仿宋_GB2312" w:eastAsia="仿宋_GB2312" w:cs="仿宋_GB2312"/>
                <w:kern w:val="0"/>
                <w:sz w:val="24"/>
                <w:lang w:eastAsia="zh-CN"/>
              </w:rPr>
              <w:t>后进行打分</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没有以上内容</w:t>
            </w:r>
            <w:r>
              <w:rPr>
                <w:rFonts w:hint="eastAsia" w:ascii="仿宋_GB2312" w:hAnsi="仿宋_GB2312" w:eastAsia="仿宋_GB2312" w:cs="仿宋_GB2312"/>
                <w:kern w:val="0"/>
                <w:sz w:val="24"/>
              </w:rPr>
              <w:t>不得分。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节能、环境标志、无线局域网产品</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投标人投标产品中每有一项为节能产品或者环境标志产品或者无线局域网产品政府采购清单中的产品的得</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分，非政府采购节能、环境标志产品的、无线局域网产品的不得分。本项最多得</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提供产品对应的清单复印件，以《中国政府采购网》最新颁布清单为准。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投标文件的规范性</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c>
          <w:tcPr>
            <w:tcW w:w="561" w:type="dxa"/>
            <w:vAlign w:val="center"/>
          </w:tcPr>
          <w:p>
            <w:pP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分</w:t>
            </w:r>
          </w:p>
        </w:tc>
        <w:tc>
          <w:tcPr>
            <w:tcW w:w="3710" w:type="dxa"/>
            <w:vAlign w:val="center"/>
          </w:tcPr>
          <w:p>
            <w:pP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按照政府采购的要求制作</w:t>
            </w:r>
            <w:r>
              <w:rPr>
                <w:rFonts w:hint="eastAsia" w:ascii="仿宋_GB2312" w:hAnsi="仿宋_GB2312" w:eastAsia="仿宋_GB2312" w:cs="仿宋_GB2312"/>
                <w:kern w:val="0"/>
                <w:sz w:val="24"/>
              </w:rPr>
              <w:t>投标文件</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bl>
    <w:p>
      <w:pPr>
        <w:numPr>
          <w:ilvl w:val="0"/>
          <w:numId w:val="0"/>
        </w:numPr>
        <w:spacing w:line="360" w:lineRule="auto"/>
        <w:ind w:firstLine="3373" w:firstLineChars="1200"/>
        <w:rPr>
          <w:rFonts w:hint="eastAsia" w:ascii="宋体" w:hAnsi="宋体"/>
          <w:sz w:val="24"/>
          <w:szCs w:val="24"/>
          <w:lang w:eastAsia="zh-CN"/>
        </w:rPr>
      </w:pPr>
      <w:r>
        <w:rPr>
          <w:rFonts w:hint="eastAsia" w:ascii="宋体" w:hAnsi="宋体"/>
          <w:b/>
          <w:bCs/>
          <w:sz w:val="28"/>
          <w:szCs w:val="28"/>
          <w:lang w:eastAsia="zh-CN"/>
        </w:rPr>
        <w:t>评分细则</w:t>
      </w:r>
      <w:r>
        <w:rPr>
          <w:rFonts w:hint="eastAsia" w:ascii="宋体" w:hAnsi="宋体"/>
          <w:b/>
          <w:bCs/>
          <w:sz w:val="28"/>
          <w:szCs w:val="28"/>
          <w:lang w:val="en-US" w:eastAsia="zh-CN"/>
        </w:rPr>
        <w:t xml:space="preserve">   </w:t>
      </w:r>
      <w:r>
        <w:rPr>
          <w:rFonts w:hint="eastAsia" w:ascii="宋体" w:hAnsi="宋体"/>
          <w:sz w:val="24"/>
          <w:szCs w:val="24"/>
          <w:lang w:val="en-US" w:eastAsia="zh-CN"/>
        </w:rPr>
        <w:t xml:space="preserve">                     </w:t>
      </w:r>
    </w:p>
    <w:p>
      <w:pPr>
        <w:rPr>
          <w:rFonts w:hint="eastAsia"/>
          <w:lang w:val="en-US" w:eastAsia="zh-CN"/>
        </w:rPr>
      </w:pPr>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7B774E"/>
    <w:rsid w:val="08F4624B"/>
    <w:rsid w:val="0B0867F5"/>
    <w:rsid w:val="0DED67EF"/>
    <w:rsid w:val="16B03CA9"/>
    <w:rsid w:val="17054526"/>
    <w:rsid w:val="17F42A8D"/>
    <w:rsid w:val="187E6699"/>
    <w:rsid w:val="1AD3096B"/>
    <w:rsid w:val="1DDE55AD"/>
    <w:rsid w:val="20320506"/>
    <w:rsid w:val="206C658E"/>
    <w:rsid w:val="24783EEF"/>
    <w:rsid w:val="25943A43"/>
    <w:rsid w:val="28944AE8"/>
    <w:rsid w:val="2F9D1B09"/>
    <w:rsid w:val="3BB7353F"/>
    <w:rsid w:val="3E623E77"/>
    <w:rsid w:val="416424A6"/>
    <w:rsid w:val="42BE4C8C"/>
    <w:rsid w:val="47AA50B6"/>
    <w:rsid w:val="4B94037D"/>
    <w:rsid w:val="4BD94EEA"/>
    <w:rsid w:val="4D597124"/>
    <w:rsid w:val="4FBF17B7"/>
    <w:rsid w:val="500D7D0B"/>
    <w:rsid w:val="52A25A99"/>
    <w:rsid w:val="52B850BE"/>
    <w:rsid w:val="53CA510B"/>
    <w:rsid w:val="55056B59"/>
    <w:rsid w:val="56D14253"/>
    <w:rsid w:val="5AF54827"/>
    <w:rsid w:val="61B06041"/>
    <w:rsid w:val="620913F7"/>
    <w:rsid w:val="64792A73"/>
    <w:rsid w:val="6AEE6F18"/>
    <w:rsid w:val="6F5224E9"/>
    <w:rsid w:val="705C39A2"/>
    <w:rsid w:val="765C4CB4"/>
    <w:rsid w:val="777925E2"/>
    <w:rsid w:val="78621982"/>
    <w:rsid w:val="7DD2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 w:type="character" w:customStyle="1" w:styleId="12">
    <w:name w:val="apple-style-span"/>
    <w:basedOn w:val="7"/>
    <w:qFormat/>
    <w:uiPriority w:val="0"/>
    <w:rPr>
      <w:rFonts w:hint="default" w:ascii="Times New Roman"/>
    </w:rPr>
  </w:style>
  <w:style w:type="character" w:customStyle="1" w:styleId="13">
    <w:name w:val="标题 1 Char"/>
    <w:link w:val="2"/>
    <w:qFormat/>
    <w:uiPriority w:val="0"/>
    <w:rPr>
      <w:b/>
      <w:bCs/>
      <w:kern w:val="44"/>
      <w:sz w:val="44"/>
      <w:szCs w:val="44"/>
    </w:rPr>
  </w:style>
  <w:style w:type="paragraph" w:customStyle="1" w:styleId="14">
    <w:name w:val="List Paragraph"/>
    <w:basedOn w:val="1"/>
    <w:qFormat/>
    <w:uiPriority w:val="34"/>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398</Words>
  <Characters>2270</Characters>
  <Lines>18</Lines>
  <Paragraphs>5</Paragraphs>
  <TotalTime>0</TotalTime>
  <ScaleCrop>false</ScaleCrop>
  <LinksUpToDate>false</LinksUpToDate>
  <CharactersWithSpaces>2663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snzyy-user</cp:lastModifiedBy>
  <cp:lastPrinted>2019-05-31T01:45:00Z</cp:lastPrinted>
  <dcterms:modified xsi:type="dcterms:W3CDTF">2019-05-31T02:12:43Z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