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default" w:ascii="宋体" w:hAnsi="宋体" w:cs="宋体" w:eastAsiaTheme="minor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  <w:t>器械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干燥箱技术参数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*1、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预约功能，预约时间范围为99小时59分钟。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*2、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10段100周期程序设定。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P.I.D模拟控制。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*4、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双重超温报警功能（a.通过温度传感器系统控制，b.独立温控开关）。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*5、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风机5段调速，可保证不同风速的要求。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标配有1个485接口；</w:t>
      </w:r>
    </w:p>
    <w:p>
      <w:pPr>
        <w:spacing w:line="360" w:lineRule="auto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7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外形尺寸（长×宽×高）(mm)≥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715×600×840</w:t>
      </w:r>
    </w:p>
    <w:p>
      <w:pPr>
        <w:spacing w:line="360" w:lineRule="auto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内腔尺寸（长×宽×高）(mm)≥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570×400×570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控温范围≥RT+5～300℃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升温时间（150℃）≤20min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温度均匀性（150℃）≤±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℃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温度波动度（150℃）≤±0.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℃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13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30S恢复时间（150℃）≤8min</w:t>
      </w:r>
    </w:p>
    <w:p>
      <w:pPr>
        <w:spacing w:line="360" w:lineRule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额定功率（kW）≥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8</w:t>
      </w:r>
    </w:p>
    <w:p>
      <w:pPr>
        <w:spacing w:line="360" w:lineRule="auto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载物托架≥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块</w:t>
      </w:r>
    </w:p>
    <w:p>
      <w:pPr>
        <w:spacing w:line="360" w:lineRule="auto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16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容积≥1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7B774E"/>
    <w:rsid w:val="08F4624B"/>
    <w:rsid w:val="09127629"/>
    <w:rsid w:val="0A380E25"/>
    <w:rsid w:val="0B0867F5"/>
    <w:rsid w:val="0D051B42"/>
    <w:rsid w:val="0DA173C5"/>
    <w:rsid w:val="0E9737D0"/>
    <w:rsid w:val="17054526"/>
    <w:rsid w:val="17F42A8D"/>
    <w:rsid w:val="187E6699"/>
    <w:rsid w:val="1AD3096B"/>
    <w:rsid w:val="1E83443A"/>
    <w:rsid w:val="206C658E"/>
    <w:rsid w:val="214B29C3"/>
    <w:rsid w:val="21B0403A"/>
    <w:rsid w:val="2276562D"/>
    <w:rsid w:val="24783EEF"/>
    <w:rsid w:val="25943A43"/>
    <w:rsid w:val="26624FF1"/>
    <w:rsid w:val="27F03BE0"/>
    <w:rsid w:val="28944AE8"/>
    <w:rsid w:val="297A4149"/>
    <w:rsid w:val="2A8A6AAE"/>
    <w:rsid w:val="361402BE"/>
    <w:rsid w:val="38C94119"/>
    <w:rsid w:val="3BB7353F"/>
    <w:rsid w:val="3E623E77"/>
    <w:rsid w:val="3FDB4E00"/>
    <w:rsid w:val="416424A6"/>
    <w:rsid w:val="42BE4C8C"/>
    <w:rsid w:val="47AA50B6"/>
    <w:rsid w:val="48592FEA"/>
    <w:rsid w:val="4B94037D"/>
    <w:rsid w:val="4DB51293"/>
    <w:rsid w:val="4FBF17B7"/>
    <w:rsid w:val="500D7D0B"/>
    <w:rsid w:val="52A25A99"/>
    <w:rsid w:val="52B850BE"/>
    <w:rsid w:val="55056B59"/>
    <w:rsid w:val="587009E0"/>
    <w:rsid w:val="5AF54827"/>
    <w:rsid w:val="61B06041"/>
    <w:rsid w:val="620913F7"/>
    <w:rsid w:val="64792A73"/>
    <w:rsid w:val="6AEE6F18"/>
    <w:rsid w:val="6B6E64BF"/>
    <w:rsid w:val="6F5224E9"/>
    <w:rsid w:val="705C39A2"/>
    <w:rsid w:val="765C4CB4"/>
    <w:rsid w:val="777925E2"/>
    <w:rsid w:val="78621982"/>
    <w:rsid w:val="7DD2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</w:style>
  <w:style w:type="character" w:customStyle="1" w:styleId="13">
    <w:name w:val="apple-style-span"/>
    <w:basedOn w:val="8"/>
    <w:qFormat/>
    <w:uiPriority w:val="0"/>
    <w:rPr>
      <w:rFonts w:hint="default" w:ascii="Times New Roman"/>
    </w:rPr>
  </w:style>
  <w:style w:type="character" w:customStyle="1" w:styleId="14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398</Words>
  <Characters>2270</Characters>
  <Lines>18</Lines>
  <Paragraphs>5</Paragraphs>
  <TotalTime>31</TotalTime>
  <ScaleCrop>false</ScaleCrop>
  <LinksUpToDate>false</LinksUpToDate>
  <CharactersWithSpaces>2663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2019-09-02T00:25:00Z</cp:lastPrinted>
  <dcterms:modified xsi:type="dcterms:W3CDTF">2019-09-09T08:10:49Z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