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pStyle w:val="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采购清单及其他要求</w:t>
      </w:r>
    </w:p>
    <w:p>
      <w:pPr>
        <w:rPr>
          <w:rFonts w:hint="eastAsia"/>
          <w:lang w:val="en-US" w:eastAsia="zh-CN"/>
        </w:rPr>
      </w:pPr>
      <w:r>
        <w:rPr>
          <w:rFonts w:hint="eastAsia" w:ascii="仿宋_GB2312" w:hAnsi="仿宋_GB2312" w:eastAsia="仿宋_GB2312" w:cs="仿宋_GB2312"/>
          <w:sz w:val="28"/>
          <w:szCs w:val="28"/>
          <w:lang w:val="en-US" w:eastAsia="zh-CN"/>
        </w:rPr>
        <w:t>一、采购清单</w:t>
      </w:r>
    </w:p>
    <w:tbl>
      <w:tblPr>
        <w:tblStyle w:val="15"/>
        <w:tblW w:w="82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5"/>
        <w:gridCol w:w="3240"/>
        <w:gridCol w:w="102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年预估数量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Barthel指数评定量表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1"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保安值班交接班记录本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病案封面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条三开80克牛皮纸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病理科标识不干胶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病室报告</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封面</w:t>
            </w:r>
            <w:r>
              <w:rPr>
                <w:rFonts w:hint="eastAsia" w:ascii="宋体" w:hAnsi="宋体" w:eastAsia="宋体" w:cs="宋体"/>
                <w:i w:val="0"/>
                <w:iCs w:val="0"/>
                <w:color w:val="000000"/>
                <w:sz w:val="22"/>
                <w:szCs w:val="22"/>
                <w:u w:val="none"/>
                <w:lang w:val="en-US" w:eastAsia="zh-CN"/>
              </w:rPr>
              <w:t>80</w:t>
            </w:r>
            <w:r>
              <w:rPr>
                <w:rFonts w:hint="eastAsia" w:ascii="宋体" w:hAnsi="宋体" w:eastAsia="宋体" w:cs="宋体"/>
                <w:i w:val="0"/>
                <w:iCs w:val="0"/>
                <w:color w:val="000000"/>
                <w:sz w:val="22"/>
                <w:szCs w:val="22"/>
                <w:u w:val="none"/>
              </w:rPr>
              <w:t>克牛皮纸单面印黑字，内页60克打字纸单面印黑字，</w:t>
            </w:r>
            <w:r>
              <w:rPr>
                <w:rFonts w:hint="eastAsia" w:ascii="宋体" w:hAnsi="宋体" w:eastAsia="宋体" w:cs="宋体"/>
                <w:i w:val="0"/>
                <w:iCs w:val="0"/>
                <w:color w:val="000000"/>
                <w:sz w:val="22"/>
                <w:szCs w:val="22"/>
                <w:u w:val="none"/>
                <w:lang w:val="en-US" w:eastAsia="zh-CN"/>
              </w:rPr>
              <w:t>A3</w:t>
            </w:r>
            <w:r>
              <w:rPr>
                <w:rFonts w:hint="eastAsia" w:ascii="宋体" w:hAnsi="宋体" w:eastAsia="宋体" w:cs="宋体"/>
                <w:i w:val="0"/>
                <w:iCs w:val="0"/>
                <w:color w:val="000000"/>
                <w:sz w:val="22"/>
                <w:szCs w:val="22"/>
                <w:u w:val="none"/>
              </w:rPr>
              <w:t>，100页/本，胶头</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参冬口服液标签（卷标）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80克铜版纸热胶，长5cm*宽3cm，底纸坚硬，耐拉</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参冬口服液纸盒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长11.8cm*宽8.3cm*高2.4cm,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参芎活血口服液标签（卷标）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80克铜版纸热胶，长5cm*宽3cm，底纸坚硬，耐拉</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参芎活血口服液纸盒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长11.8cm*宽8.3cm*高2.4cm,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产妇乐合剂标签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产妇乐合剂说明书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出入院病人登记薄</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出院结账清单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32开30克 100页</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处方笺</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精二 ，A5,50克，100页/本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A5,50克，100页/本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电子胃镜检查申请单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A4，60克双面印刷，100页/本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跌倒危险因素评估量表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儿童健康检查表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芳化和胃茶标签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芳化和胃茶说明书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肺舒糖浆标签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肺舒糖浆说明书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付款单据</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30克 48开 三联</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妇产科门诊病历封面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条三开，80g牛皮纸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复方颠茄合剂标签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复方颠茄合剂纸盒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长4.6cm*宽4.6cm*高11cm,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复方紫金油标签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复方紫金油说明书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工作笔记本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32开，30克打字纸，100页／本，包牛皮纸封面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红处方</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精一A5,30克红色打字纸，编号，100页/本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红头文件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A4,80克彩色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化瘀通络热敷袋标签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化瘀通络热敷袋纸盒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长14.7cm*宽11cm*高2cm,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会计凭证封面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260MM*147MM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会议记录本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A4，28克打字纸，100页／本，包牛皮纸封面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活络愈伤搽剂标签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活络愈伤搽剂纸盒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长4.6cm*宽4.6cm*高11cm,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鸡血藤除湿合剂标签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鸡血藤除湿合剂说明书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急诊预检分诊记录本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检验标本送检签收记录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九味解毒口服液标签（卷标）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80克铜版纸热胶，长5cm*宽3cm，底纸坚硬，耐拉</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九味解毒口服液纸盒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长11.8cm*宽8.3cm*高2.4cm,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空白凭证</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260MM*130MM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口服液塑料托盘</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长11.6cm*宽8cm*高2cm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炉甘石薄荷脑洗剂标签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炉甘石薄荷脑洗剂纸盒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长4.6cm*宽4.6cm*高11cm,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氯化钾口服溶液标签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氯化钾口服溶液纸盒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长4.6cm*宽4.6cm*高11cm,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麻醉科收费清单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A4，60克双面印刷，100页/本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4"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麻醉药品第一类精神药品临床使用（空安瓶）回收及残余液体销毁登记本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麻醉药品第一类精神药品使用知情同意书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门诊病情证明书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A5,50克，100页/本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母子健康手册</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A4，≥128页，双面彩色印刷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内服药袋</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85*120mm，食品级淋膜纸，印黑色字，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财务凭证装订用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牛皮纸中药袋</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120克原木浆牛皮纸，，长190*宽95*高360mm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盆腔解毒灌肠液标签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盆腔解毒灌肠液说明书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热敏不干胶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颗粒纸 5*3CM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热敏不干胶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颗粒纸 10*8.5CM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热敏收银纸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人工流产登记册</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kern w:val="2"/>
                <w:sz w:val="26"/>
                <w:szCs w:val="26"/>
                <w:u w:val="none"/>
                <w:lang w:val="en-US" w:eastAsia="zh-CN" w:bidi="ar-SA"/>
              </w:rPr>
            </w:pPr>
            <w:r>
              <w:rPr>
                <w:rFonts w:hint="eastAsia" w:ascii="宋体" w:hAnsi="宋体" w:eastAsia="宋体" w:cs="宋体"/>
                <w:i w:val="0"/>
                <w:iCs w:val="0"/>
                <w:color w:val="0000FF"/>
                <w:kern w:val="0"/>
                <w:sz w:val="26"/>
                <w:szCs w:val="26"/>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入院证</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A4，60克双面印刷，100页/本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手术室收费清单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A4，60克双面印刷，100页/本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四川省中医住院规范化培训登记手册</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FF"/>
                <w:sz w:val="22"/>
                <w:szCs w:val="22"/>
                <w:u w:val="none"/>
                <w:lang w:val="en-US" w:eastAsia="zh-CN"/>
              </w:rPr>
            </w:pPr>
            <w:r>
              <w:rPr>
                <w:rFonts w:hint="eastAsia" w:ascii="宋体" w:hAnsi="宋体" w:eastAsia="宋体" w:cs="宋体"/>
                <w:i w:val="0"/>
                <w:iCs w:val="0"/>
                <w:color w:val="0000FF"/>
                <w:kern w:val="0"/>
                <w:sz w:val="22"/>
                <w:szCs w:val="22"/>
                <w:u w:val="none"/>
                <w:lang w:val="en-US" w:eastAsia="zh-CN" w:bidi="ar"/>
              </w:rPr>
              <w:t>A4.≥325页，双面印刷，皮纹纸包封面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塑料手提袋</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9丝原生塑料，长55cm宽32cm，厚度大于0.025mm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塑料自封袋</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胎儿畸形超声筛查申请单（知情同意书）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碳酸氢钠溶液标签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长8cm*宽4cm，80g铜版波卡水胶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碳酸氢钠溶液纸盒</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长4.6cm*宽4.6cm*高11cm, 纸盒（350克进口白卡纸、表面覆膜)，含说明书，成品厚度不低于49丝</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体格检查表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 70g双面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体检报告封面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350g白卡纸，双面四色印刷，正面过光油，压深布纹，大面积烫金，开窗，封口带易撕带+离型双面胶，脊背3mmU型胶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退款专用单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48开，一式两联</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外用药标签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物资领用单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消毒记录本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消毒卡</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消防工作每日防火巡查本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消防控制室交接班情况记录表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消防器材维修保养卡</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200克白卡，A5印刷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姓名共用剂标签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A4（共21小张），每小张6*4cm 不干胶印刷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药房指导用药标签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A4，每小张4*2cm 不干胶印刷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医疗废物出入库登记本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医生交接班记录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A4，60克，100页/本，80克牛皮纸包封面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幽门螺旋杆菌检测申请单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A5,50克，100页/本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预防HIV母婴传播项目筛查申请单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A5，一式两联，100份/本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4"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院前急救记录单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A4，一式两联，100页/本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9"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250mL，350克食品纸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中药热奄包艾灸治疗告知书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中医特色治疗单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住院病人离院责任书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A4，60克，100页/本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住院费用担保单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住院患者手术室外麻醉记录单</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A4，60克双面印刷，100页/本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西药用法用量</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中药先煎贴纸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中药后下贴纸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中药另煎贴纸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复方薄荷脑滴鼻液标签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长5cm*宽3cm，80g铜版波卡水胶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复方薄荷脑滴鼻液说明书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10.5*15cm  70克双胶纸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注:本项目以统一下浮率进行报价</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配置要求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1、纸盒：其他要求：彩色印刷 、色泽鲜艳、套印准确，图案清晰、深浅一致，版面清洁无重印，不得有漏印、叠印等现象；产品颜色与提供的样稿一致。表面清洁、平整光滑、不起泡、不漏底、不粘结；粘贴紧密牢固无撬角，盖后严缝无翻边；盒与盒之间不得有粘黏现象。2、标签：彩色印刷、色泽鲜艳、套印准确，图案清晰、深浅一致，版面清洁无重印，不得有漏印、叠印等现象；产品颜色与提供的样稿一致。表面清洁、平整光滑、不起泡、不漏底、不粘结；粘贴紧密牢固无撬角，盖后严缝无翻边；标签与标签之间不得有粘黏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二、服务要求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成交供应商必须严格按照采购人提供的样品制作，成交供应商负责包装材料及打字、排版、校稿（经相关科室签字认可）、打样，成品制作要求文字清晰，无重影、糊字、错别字，按要求送货到采购人指定地点。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2、具体制作数量由采购人根据实际所需确定印制数量分批次、分量制作。</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3、本次服务内容数量不确定，供应商应完全响应采购人的实际需要。</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4、因供货商原因造成拼错版面、少印、错印、图文不清楚、沾染油墨、沾染机油等质量问题，采购人有权责成供货商重新制作。并承担相应全部费用。供应商应在3天之内重新制作并运送到指定地点。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、商务要求</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1、服务期限：壹年（具体起止时间以合同约定的时间为准）。</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2、响应时间：当接到用户服务需求时，2小时内响应，用户发现服务内容有缺陷，应在24小时内完善服务内容。成交供应商须指派专人负责与采购人联系售后服务事宜。</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3、交付地点：采购人指定地点。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4、验收：严格按照采购人质量要求和技术指标、成交供应商的响应文件及承诺以及合同约定标准进行验收。</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5、付款方式：每次印制内容及数量根据采购人需求确定，成交供应商履行完合同中约定的条款，经采购人验收合格后，每月根据实际数量结算支付，不支付任何预付款。</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6、产品须提供样品且应符合色标管理每批次应无明显色标差异。</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7、到货时间：成交供应商在接到采购人订单后一般产品7日内送到，急需产品3日内送到。</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8、在服务周期内（合同签订期内），不允许任何理由、形式涨价。</w:t>
      </w:r>
    </w:p>
    <w:p>
      <w:pPr>
        <w:keepNext w:val="0"/>
        <w:keepLines w:val="0"/>
        <w:pageBreakBefore w:val="0"/>
        <w:widowControl w:val="0"/>
        <w:kinsoku/>
        <w:wordWrap/>
        <w:overflowPunct/>
        <w:topLinePunct w:val="0"/>
        <w:autoSpaceDE/>
        <w:autoSpaceDN/>
        <w:bidi w:val="0"/>
        <w:adjustRightInd/>
        <w:snapToGrid/>
        <w:spacing w:line="480" w:lineRule="exact"/>
        <w:ind w:left="40" w:leftChars="19"/>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、验收要求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验收时间：根据合同签订时间确定。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验收方式：</w:t>
      </w:r>
      <w:r>
        <w:rPr>
          <w:rFonts w:hint="eastAsia" w:ascii="仿宋_GB2312" w:hAnsi="仿宋_GB2312" w:eastAsia="仿宋_GB2312" w:cs="仿宋_GB2312"/>
          <w:bCs/>
          <w:sz w:val="28"/>
          <w:szCs w:val="28"/>
          <w:lang w:val="en-US" w:eastAsia="zh-CN"/>
        </w:rPr>
        <w:t>采取随机抽样检查的方式，</w:t>
      </w:r>
      <w:r>
        <w:rPr>
          <w:rFonts w:hint="eastAsia" w:ascii="仿宋_GB2312" w:hAnsi="仿宋_GB2312" w:eastAsia="仿宋_GB2312" w:cs="仿宋_GB2312"/>
          <w:bCs/>
          <w:sz w:val="28"/>
          <w:szCs w:val="28"/>
        </w:rPr>
        <w:t>可分为材料检验、</w:t>
      </w:r>
      <w:r>
        <w:rPr>
          <w:rFonts w:hint="eastAsia" w:ascii="仿宋_GB2312" w:hAnsi="仿宋_GB2312" w:eastAsia="仿宋_GB2312" w:cs="仿宋_GB2312"/>
          <w:sz w:val="28"/>
          <w:szCs w:val="28"/>
        </w:rPr>
        <w:t>出厂检验、到货检验、安装调试检验、配套服务检验等多重验收方式。</w:t>
      </w:r>
    </w:p>
    <w:p>
      <w:pPr>
        <w:pStyle w:val="33"/>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验收标准：</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验收严格按照政府采购相关法律法规要求进行验收。以磋商文件技术参数要求及成交供应商响应文件技术参数响应为准。如出现未在磋商文件中明确规定的，以行业相关标准为准。如采购双方如对质量要求和技术指标的约定标准有相互抵触或异议的事项，由采购方在采购与响应文件中按质量要求和技术指标、行业标准比较优胜的原则确定该项的约定标准进行验收。</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jc w:val="center"/>
        <w:rPr>
          <w:rFonts w:hint="eastAsia"/>
          <w:lang w:val="en-US" w:eastAsia="zh-CN"/>
        </w:rPr>
      </w:pPr>
      <w:r>
        <w:rPr>
          <w:rFonts w:hint="eastAsia" w:ascii="仿宋_GB2312" w:hAnsi="仿宋_GB2312" w:eastAsia="仿宋_GB2312" w:cs="仿宋_GB2312"/>
          <w:sz w:val="32"/>
          <w:szCs w:val="32"/>
          <w:lang w:val="en-US" w:eastAsia="zh-CN"/>
        </w:rPr>
        <w:t>评分细则</w:t>
      </w:r>
    </w:p>
    <w:tbl>
      <w:tblPr>
        <w:tblStyle w:val="15"/>
        <w:tblpPr w:leftFromText="180" w:rightFromText="180" w:vertAnchor="text" w:horzAnchor="page" w:tblpX="1545" w:tblpY="565"/>
        <w:tblOverlap w:val="never"/>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30"/>
        <w:gridCol w:w="675"/>
        <w:gridCol w:w="840"/>
        <w:gridCol w:w="501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0" w:type="dxa"/>
            <w:noWrap w:val="0"/>
            <w:vAlign w:val="center"/>
          </w:tcPr>
          <w:p>
            <w:pPr>
              <w:spacing w:line="300" w:lineRule="exact"/>
              <w:jc w:val="center"/>
              <w:rPr>
                <w:rFonts w:hint="eastAsia" w:ascii="宋体" w:hAnsi="宋体" w:cs="宋体"/>
                <w:kern w:val="0"/>
                <w:szCs w:val="21"/>
              </w:rPr>
            </w:pPr>
          </w:p>
          <w:p>
            <w:pPr>
              <w:spacing w:line="300" w:lineRule="exact"/>
              <w:jc w:val="center"/>
              <w:rPr>
                <w:rFonts w:hint="eastAsia" w:ascii="宋体" w:hAnsi="宋体" w:cs="宋体"/>
                <w:kern w:val="0"/>
                <w:szCs w:val="21"/>
              </w:rPr>
            </w:pPr>
          </w:p>
          <w:p>
            <w:pPr>
              <w:spacing w:line="300" w:lineRule="exact"/>
              <w:jc w:val="center"/>
              <w:rPr>
                <w:rFonts w:ascii="宋体" w:hAnsi="宋体" w:cs="宋体"/>
                <w:kern w:val="0"/>
                <w:szCs w:val="21"/>
              </w:rPr>
            </w:pPr>
            <w:r>
              <w:rPr>
                <w:rFonts w:hint="eastAsia" w:ascii="宋体" w:hAnsi="宋体" w:cs="宋体"/>
                <w:kern w:val="0"/>
                <w:szCs w:val="21"/>
              </w:rPr>
              <w:t>序号</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评分因素及权重</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分值</w:t>
            </w:r>
          </w:p>
        </w:tc>
        <w:tc>
          <w:tcPr>
            <w:tcW w:w="501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评分标准</w:t>
            </w:r>
          </w:p>
        </w:tc>
        <w:tc>
          <w:tcPr>
            <w:tcW w:w="743"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1</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报价30%</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30分</w:t>
            </w:r>
          </w:p>
        </w:tc>
        <w:tc>
          <w:tcPr>
            <w:tcW w:w="5010" w:type="dxa"/>
            <w:noWrap w:val="0"/>
            <w:vAlign w:val="center"/>
          </w:tcPr>
          <w:p>
            <w:pPr>
              <w:spacing w:line="300" w:lineRule="exact"/>
              <w:ind w:firstLine="420" w:firstLineChars="200"/>
              <w:jc w:val="left"/>
              <w:rPr>
                <w:rFonts w:ascii="宋体" w:hAnsi="宋体" w:cs="宋体"/>
                <w:kern w:val="0"/>
                <w:szCs w:val="21"/>
              </w:rPr>
            </w:pPr>
            <w:r>
              <w:rPr>
                <w:rFonts w:hint="eastAsia" w:ascii="宋体" w:hAnsi="宋体" w:cs="宋体"/>
                <w:kern w:val="0"/>
                <w:szCs w:val="21"/>
              </w:rPr>
              <w:t>以本次经评审的有效的最低最后报价为基准价，磋商报价得分=（磋商基准价/最后磋商报价）*30*100%</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2</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技术服务、商务要求20%</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20分</w:t>
            </w:r>
          </w:p>
        </w:tc>
        <w:tc>
          <w:tcPr>
            <w:tcW w:w="5010" w:type="dxa"/>
            <w:noWrap w:val="0"/>
            <w:vAlign w:val="top"/>
          </w:tcPr>
          <w:p>
            <w:pPr>
              <w:spacing w:line="300" w:lineRule="exact"/>
              <w:ind w:firstLine="420" w:firstLineChars="200"/>
              <w:jc w:val="left"/>
              <w:rPr>
                <w:rFonts w:ascii="宋体" w:hAnsi="宋体" w:cs="宋体"/>
                <w:kern w:val="0"/>
                <w:szCs w:val="21"/>
              </w:rPr>
            </w:pPr>
            <w:r>
              <w:rPr>
                <w:rFonts w:hint="eastAsia" w:ascii="宋体" w:hAnsi="宋体" w:cs="宋体"/>
                <w:kern w:val="0"/>
                <w:szCs w:val="21"/>
              </w:rPr>
              <w:t>供应商的技术服务、商务要求完全响应磋商文件的得20分；有一项未响应的扣1分，扣完为止。</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69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3</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项目实施方案10%</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10分</w:t>
            </w:r>
          </w:p>
        </w:tc>
        <w:tc>
          <w:tcPr>
            <w:tcW w:w="5010" w:type="dxa"/>
            <w:noWrap w:val="0"/>
            <w:vAlign w:val="top"/>
          </w:tcPr>
          <w:p>
            <w:pPr>
              <w:spacing w:line="300" w:lineRule="exact"/>
              <w:ind w:firstLine="420" w:firstLineChars="200"/>
              <w:jc w:val="left"/>
              <w:rPr>
                <w:rFonts w:ascii="宋体" w:hAnsi="宋体" w:cs="宋体"/>
                <w:kern w:val="0"/>
                <w:szCs w:val="21"/>
              </w:rPr>
            </w:pPr>
            <w:r>
              <w:rPr>
                <w:rFonts w:hint="eastAsia" w:ascii="宋体" w:hAnsi="宋体" w:cs="宋体"/>
                <w:kern w:val="0"/>
                <w:szCs w:val="21"/>
              </w:rPr>
              <w:t>根据供应商针对本项目提供的项目实施方案（包括服务方案、工作进度安排、实施措施、人员投入等）进行综合评分：服务方案合理、可操作性强，工作进度安排周密、实施措施有力，人员投入科学合理的得10分；服务方案较合理、可操作性较强，工作进度安排较详细、实施措施较有力，人员投入较合理的得6分；服务方案一般、可操作性不强，工作进度安排一般、实施措施一般，人员投入不合理的得4分；未提供的不得分。</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90" w:type="dxa"/>
            <w:vMerge w:val="restart"/>
            <w:noWrap w:val="0"/>
            <w:vAlign w:val="center"/>
          </w:tcPr>
          <w:p>
            <w:pPr>
              <w:spacing w:line="300" w:lineRule="exact"/>
              <w:jc w:val="center"/>
              <w:rPr>
                <w:rFonts w:ascii="宋体" w:hAnsi="宋体" w:cs="宋体"/>
                <w:kern w:val="0"/>
                <w:szCs w:val="21"/>
              </w:rPr>
            </w:pPr>
            <w:r>
              <w:rPr>
                <w:rFonts w:hint="eastAsia" w:ascii="宋体" w:hAnsi="宋体" w:cs="宋体"/>
                <w:kern w:val="0"/>
                <w:szCs w:val="21"/>
              </w:rPr>
              <w:t>4</w:t>
            </w:r>
          </w:p>
        </w:tc>
        <w:tc>
          <w:tcPr>
            <w:tcW w:w="1230" w:type="dxa"/>
            <w:vMerge w:val="restart"/>
            <w:noWrap w:val="0"/>
            <w:vAlign w:val="center"/>
          </w:tcPr>
          <w:p>
            <w:pPr>
              <w:spacing w:line="300" w:lineRule="exact"/>
              <w:jc w:val="center"/>
              <w:rPr>
                <w:rFonts w:ascii="宋体" w:hAnsi="宋体" w:cs="宋体"/>
                <w:kern w:val="0"/>
                <w:szCs w:val="21"/>
              </w:rPr>
            </w:pPr>
            <w:r>
              <w:rPr>
                <w:rFonts w:hint="eastAsia" w:ascii="宋体" w:hAnsi="宋体" w:cs="宋体"/>
                <w:kern w:val="0"/>
                <w:szCs w:val="21"/>
              </w:rPr>
              <w:t>供应商综合实力22%</w:t>
            </w:r>
          </w:p>
        </w:tc>
        <w:tc>
          <w:tcPr>
            <w:tcW w:w="675"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场地15%</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15分</w:t>
            </w:r>
          </w:p>
        </w:tc>
        <w:tc>
          <w:tcPr>
            <w:tcW w:w="5010" w:type="dxa"/>
            <w:noWrap w:val="0"/>
            <w:vAlign w:val="center"/>
          </w:tcPr>
          <w:p>
            <w:pPr>
              <w:spacing w:line="300" w:lineRule="exact"/>
              <w:jc w:val="left"/>
              <w:rPr>
                <w:rFonts w:ascii="宋体" w:hAnsi="宋体" w:cs="宋体"/>
                <w:kern w:val="0"/>
                <w:szCs w:val="21"/>
              </w:rPr>
            </w:pPr>
            <w:r>
              <w:rPr>
                <w:rFonts w:hint="eastAsia" w:ascii="宋体" w:hAnsi="宋体" w:cs="宋体"/>
                <w:kern w:val="0"/>
                <w:szCs w:val="21"/>
              </w:rPr>
              <w:t>供应商有固定生产场地具备印制所需的设备得15分，</w:t>
            </w:r>
          </w:p>
          <w:p>
            <w:pPr>
              <w:spacing w:line="300" w:lineRule="exact"/>
              <w:jc w:val="left"/>
              <w:rPr>
                <w:rFonts w:ascii="宋体" w:hAnsi="宋体" w:cs="宋体"/>
                <w:kern w:val="0"/>
                <w:szCs w:val="21"/>
              </w:rPr>
            </w:pPr>
            <w:r>
              <w:rPr>
                <w:rFonts w:hint="eastAsia" w:ascii="宋体" w:hAnsi="宋体" w:cs="宋体"/>
                <w:kern w:val="0"/>
                <w:szCs w:val="21"/>
              </w:rPr>
              <w:t>注：提供生产场地、房屋产权证复印件或租赁合同复印件、印制所需设备购进记录实物照片等证明材料。</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vMerge w:val="continue"/>
            <w:noWrap w:val="0"/>
            <w:vAlign w:val="center"/>
          </w:tcPr>
          <w:p>
            <w:pPr>
              <w:spacing w:line="300" w:lineRule="exact"/>
              <w:jc w:val="center"/>
              <w:rPr>
                <w:rFonts w:ascii="宋体" w:hAnsi="宋体" w:cs="宋体"/>
                <w:kern w:val="0"/>
                <w:szCs w:val="21"/>
              </w:rPr>
            </w:pPr>
          </w:p>
        </w:tc>
        <w:tc>
          <w:tcPr>
            <w:tcW w:w="1230" w:type="dxa"/>
            <w:vMerge w:val="continue"/>
            <w:noWrap w:val="0"/>
            <w:vAlign w:val="center"/>
          </w:tcPr>
          <w:p>
            <w:pPr>
              <w:spacing w:line="300" w:lineRule="exact"/>
              <w:jc w:val="center"/>
              <w:rPr>
                <w:rFonts w:ascii="宋体" w:hAnsi="宋体" w:cs="宋体"/>
                <w:kern w:val="0"/>
                <w:szCs w:val="21"/>
              </w:rPr>
            </w:pPr>
          </w:p>
        </w:tc>
        <w:tc>
          <w:tcPr>
            <w:tcW w:w="675"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技术服务团队7%</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7分</w:t>
            </w:r>
          </w:p>
        </w:tc>
        <w:tc>
          <w:tcPr>
            <w:tcW w:w="5010" w:type="dxa"/>
            <w:noWrap w:val="0"/>
            <w:vAlign w:val="center"/>
          </w:tcPr>
          <w:p>
            <w:pPr>
              <w:spacing w:line="300" w:lineRule="exact"/>
              <w:jc w:val="left"/>
              <w:rPr>
                <w:rFonts w:ascii="宋体" w:hAnsi="宋体" w:cs="宋体"/>
                <w:kern w:val="0"/>
                <w:szCs w:val="21"/>
              </w:rPr>
            </w:pPr>
            <w:r>
              <w:rPr>
                <w:rFonts w:hint="eastAsia" w:ascii="宋体" w:hAnsi="宋体" w:cs="宋体"/>
                <w:kern w:val="0"/>
                <w:szCs w:val="21"/>
              </w:rPr>
              <w:t>供应商拟投入本项目的技术服务团队人员在5人及以上的得7分，4人的得5分，3人及以下的得3分，本项最多得7分。</w:t>
            </w:r>
          </w:p>
          <w:p>
            <w:pPr>
              <w:spacing w:line="300" w:lineRule="exact"/>
              <w:ind w:firstLine="420" w:firstLineChars="200"/>
              <w:jc w:val="left"/>
              <w:rPr>
                <w:rFonts w:ascii="宋体" w:hAnsi="宋体" w:cs="宋体"/>
                <w:kern w:val="0"/>
                <w:szCs w:val="21"/>
              </w:rPr>
            </w:pPr>
            <w:r>
              <w:rPr>
                <w:rFonts w:hint="eastAsia" w:ascii="宋体" w:hAnsi="宋体" w:cs="宋体"/>
                <w:kern w:val="0"/>
                <w:szCs w:val="21"/>
              </w:rPr>
              <w:t>注：提供相关人员与供应商签订的劳动合同复印件并加盖供应商鲜章。</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5</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售后服务方案10%</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10分</w:t>
            </w:r>
          </w:p>
        </w:tc>
        <w:tc>
          <w:tcPr>
            <w:tcW w:w="5010" w:type="dxa"/>
            <w:noWrap w:val="0"/>
            <w:vAlign w:val="top"/>
          </w:tcPr>
          <w:p>
            <w:pPr>
              <w:spacing w:line="300" w:lineRule="exact"/>
              <w:jc w:val="left"/>
              <w:rPr>
                <w:rFonts w:ascii="宋体" w:hAnsi="宋体" w:cs="宋体"/>
                <w:kern w:val="0"/>
                <w:szCs w:val="21"/>
              </w:rPr>
            </w:pPr>
            <w:r>
              <w:rPr>
                <w:rFonts w:hint="eastAsia" w:ascii="宋体" w:hAnsi="宋体" w:cs="宋体"/>
                <w:kern w:val="0"/>
                <w:szCs w:val="21"/>
              </w:rPr>
              <w:t>根据供应商针对本项目售后服务方案（包括售后服务机构、人员配置、响应时间、应急处理方式等）进行综合评审：</w:t>
            </w:r>
          </w:p>
          <w:p>
            <w:pPr>
              <w:spacing w:line="300" w:lineRule="exact"/>
              <w:jc w:val="left"/>
              <w:rPr>
                <w:rFonts w:ascii="宋体" w:hAnsi="宋体" w:cs="宋体"/>
                <w:kern w:val="0"/>
                <w:szCs w:val="21"/>
              </w:rPr>
            </w:pPr>
            <w:r>
              <w:rPr>
                <w:rFonts w:hint="eastAsia" w:ascii="宋体" w:hAnsi="宋体" w:cs="宋体"/>
                <w:kern w:val="0"/>
                <w:szCs w:val="21"/>
              </w:rPr>
              <w:t>售后服务机构完善，人员配置合理，响应时间及时，应急处理方式科学得10分；</w:t>
            </w:r>
          </w:p>
          <w:p>
            <w:pPr>
              <w:spacing w:line="300" w:lineRule="exact"/>
              <w:jc w:val="left"/>
              <w:rPr>
                <w:rFonts w:ascii="宋体" w:hAnsi="宋体" w:cs="宋体"/>
                <w:kern w:val="0"/>
                <w:szCs w:val="21"/>
              </w:rPr>
            </w:pPr>
            <w:r>
              <w:rPr>
                <w:rFonts w:hint="eastAsia" w:ascii="宋体" w:hAnsi="宋体" w:cs="宋体"/>
                <w:kern w:val="0"/>
                <w:szCs w:val="21"/>
              </w:rPr>
              <w:t>售后服务机构较完善，人员配置较合理，响应时间较及时，应急处理方式较科学得7分；</w:t>
            </w:r>
          </w:p>
          <w:p>
            <w:pPr>
              <w:spacing w:line="300" w:lineRule="exact"/>
              <w:jc w:val="left"/>
              <w:rPr>
                <w:rFonts w:ascii="宋体" w:hAnsi="宋体" w:cs="宋体"/>
                <w:kern w:val="0"/>
                <w:szCs w:val="21"/>
              </w:rPr>
            </w:pPr>
            <w:r>
              <w:rPr>
                <w:rFonts w:hint="eastAsia" w:ascii="宋体" w:hAnsi="宋体" w:cs="宋体"/>
                <w:kern w:val="0"/>
                <w:szCs w:val="21"/>
              </w:rPr>
              <w:t xml:space="preserve">售后服务机构简单，人员配置一般，响应时间一般，应急处理方式一般得4分； </w:t>
            </w:r>
          </w:p>
          <w:p>
            <w:pPr>
              <w:tabs>
                <w:tab w:val="left" w:pos="834"/>
              </w:tabs>
              <w:spacing w:line="300" w:lineRule="exact"/>
              <w:jc w:val="left"/>
              <w:rPr>
                <w:rFonts w:ascii="宋体" w:hAnsi="宋体" w:cs="宋体"/>
                <w:kern w:val="0"/>
                <w:szCs w:val="21"/>
              </w:rPr>
            </w:pPr>
            <w:r>
              <w:rPr>
                <w:rFonts w:hint="eastAsia" w:ascii="宋体" w:hAnsi="宋体" w:cs="宋体"/>
                <w:kern w:val="0"/>
                <w:szCs w:val="21"/>
              </w:rPr>
              <w:t>未提供的不得分。</w:t>
            </w:r>
          </w:p>
        </w:tc>
        <w:tc>
          <w:tcPr>
            <w:tcW w:w="743" w:type="dxa"/>
            <w:noWrap w:val="0"/>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6</w:t>
            </w:r>
          </w:p>
        </w:tc>
        <w:tc>
          <w:tcPr>
            <w:tcW w:w="1905" w:type="dxa"/>
            <w:gridSpan w:val="2"/>
            <w:noWrap w:val="0"/>
            <w:vAlign w:val="center"/>
          </w:tcPr>
          <w:p>
            <w:pPr>
              <w:spacing w:line="300" w:lineRule="exact"/>
              <w:jc w:val="center"/>
              <w:rPr>
                <w:rFonts w:ascii="宋体" w:hAnsi="宋体" w:cs="宋体"/>
                <w:kern w:val="0"/>
                <w:szCs w:val="21"/>
              </w:rPr>
            </w:pPr>
            <w:r>
              <w:rPr>
                <w:rFonts w:hint="eastAsia" w:ascii="宋体" w:hAnsi="宋体" w:cs="宋体"/>
                <w:kern w:val="0"/>
                <w:szCs w:val="21"/>
              </w:rPr>
              <w:t>业绩</w:t>
            </w:r>
            <w:r>
              <w:rPr>
                <w:rFonts w:hint="eastAsia" w:ascii="宋体" w:hAnsi="宋体" w:cs="宋体"/>
                <w:kern w:val="0"/>
                <w:szCs w:val="21"/>
                <w:lang w:val="en-US" w:eastAsia="zh-CN"/>
              </w:rPr>
              <w:t>8</w:t>
            </w:r>
            <w:r>
              <w:rPr>
                <w:rFonts w:hint="eastAsia" w:ascii="宋体" w:hAnsi="宋体" w:cs="宋体"/>
                <w:kern w:val="0"/>
                <w:szCs w:val="21"/>
              </w:rPr>
              <w:t>%</w:t>
            </w:r>
          </w:p>
        </w:tc>
        <w:tc>
          <w:tcPr>
            <w:tcW w:w="840"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c>
          <w:tcPr>
            <w:tcW w:w="5010" w:type="dxa"/>
            <w:noWrap w:val="0"/>
            <w:vAlign w:val="top"/>
          </w:tcPr>
          <w:p>
            <w:pPr>
              <w:tabs>
                <w:tab w:val="left" w:pos="834"/>
              </w:tabs>
              <w:spacing w:line="300" w:lineRule="exact"/>
              <w:jc w:val="left"/>
              <w:rPr>
                <w:rFonts w:ascii="宋体" w:hAnsi="宋体" w:cs="宋体"/>
                <w:kern w:val="0"/>
                <w:szCs w:val="21"/>
              </w:rPr>
            </w:pPr>
            <w:r>
              <w:rPr>
                <w:rFonts w:hint="eastAsia" w:ascii="宋体" w:hAnsi="宋体" w:cs="宋体"/>
                <w:kern w:val="0"/>
                <w:szCs w:val="21"/>
              </w:rPr>
              <w:t>供应商每提供类似业绩一个得2分，最多得</w:t>
            </w:r>
            <w:r>
              <w:rPr>
                <w:rFonts w:hint="eastAsia" w:ascii="宋体" w:hAnsi="宋体" w:cs="宋体"/>
                <w:kern w:val="0"/>
                <w:szCs w:val="21"/>
                <w:lang w:val="en-US" w:eastAsia="zh-CN"/>
              </w:rPr>
              <w:t>8</w:t>
            </w:r>
            <w:r>
              <w:rPr>
                <w:rFonts w:hint="eastAsia" w:ascii="宋体" w:hAnsi="宋体" w:cs="宋体"/>
                <w:kern w:val="0"/>
                <w:szCs w:val="21"/>
              </w:rPr>
              <w:t>分；</w:t>
            </w:r>
          </w:p>
          <w:p>
            <w:pPr>
              <w:tabs>
                <w:tab w:val="left" w:pos="834"/>
              </w:tabs>
              <w:spacing w:line="300" w:lineRule="exact"/>
              <w:jc w:val="left"/>
              <w:rPr>
                <w:rFonts w:ascii="宋体" w:hAnsi="宋体" w:cs="宋体"/>
                <w:kern w:val="0"/>
                <w:szCs w:val="21"/>
              </w:rPr>
            </w:pPr>
            <w:r>
              <w:rPr>
                <w:rFonts w:hint="eastAsia" w:ascii="宋体" w:hAnsi="宋体" w:cs="宋体"/>
                <w:kern w:val="0"/>
                <w:szCs w:val="21"/>
              </w:rPr>
              <w:t>未提供的不得分。注：提供中标/成交通知书或合同复印件并加盖供应商鲜章。</w:t>
            </w:r>
          </w:p>
        </w:tc>
        <w:tc>
          <w:tcPr>
            <w:tcW w:w="743" w:type="dxa"/>
            <w:noWrap w:val="0"/>
            <w:vAlign w:val="bottom"/>
          </w:tcPr>
          <w:p>
            <w:pPr>
              <w:spacing w:line="300" w:lineRule="exact"/>
              <w:jc w:val="center"/>
              <w:rPr>
                <w:rFonts w:ascii="宋体" w:hAnsi="宋体" w:cs="宋体"/>
                <w:kern w:val="0"/>
                <w:szCs w:val="21"/>
              </w:rPr>
            </w:pPr>
          </w:p>
        </w:tc>
      </w:tr>
    </w:tbl>
    <w:p/>
    <w:p>
      <w:pPr>
        <w:pStyle w:val="2"/>
        <w:rPr>
          <w:rFonts w:hint="eastAsia" w:ascii="仿宋_GB2312" w:hAnsi="仿宋_GB2312" w:eastAsia="仿宋_GB2312" w:cs="仿宋_GB2312"/>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BiMzcyZWEyYjdiNDdiZWEzMzIwNjA1NmVlZWMifQ=="/>
  </w:docVars>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1EE6549"/>
    <w:rsid w:val="027E613F"/>
    <w:rsid w:val="055C5637"/>
    <w:rsid w:val="061007E8"/>
    <w:rsid w:val="06485E03"/>
    <w:rsid w:val="086C6822"/>
    <w:rsid w:val="08C412EB"/>
    <w:rsid w:val="08CB0808"/>
    <w:rsid w:val="08DE4018"/>
    <w:rsid w:val="08F4624B"/>
    <w:rsid w:val="09127629"/>
    <w:rsid w:val="0A380E25"/>
    <w:rsid w:val="0B0867F5"/>
    <w:rsid w:val="0B660F7D"/>
    <w:rsid w:val="0D051B42"/>
    <w:rsid w:val="0D4A3861"/>
    <w:rsid w:val="0E9737D0"/>
    <w:rsid w:val="0F437DB4"/>
    <w:rsid w:val="0F6B3960"/>
    <w:rsid w:val="0F724942"/>
    <w:rsid w:val="119D4B1B"/>
    <w:rsid w:val="12BC423E"/>
    <w:rsid w:val="131D1030"/>
    <w:rsid w:val="14BD66ED"/>
    <w:rsid w:val="150E3040"/>
    <w:rsid w:val="16072E4F"/>
    <w:rsid w:val="17054526"/>
    <w:rsid w:val="17A252C5"/>
    <w:rsid w:val="17F42A8D"/>
    <w:rsid w:val="18116ECC"/>
    <w:rsid w:val="187E6699"/>
    <w:rsid w:val="18C66CA9"/>
    <w:rsid w:val="1956660C"/>
    <w:rsid w:val="19983BCC"/>
    <w:rsid w:val="1AD3096B"/>
    <w:rsid w:val="1B5B37A8"/>
    <w:rsid w:val="1CA3349C"/>
    <w:rsid w:val="1DB4234F"/>
    <w:rsid w:val="1E4A616F"/>
    <w:rsid w:val="1E5A248F"/>
    <w:rsid w:val="1E83443A"/>
    <w:rsid w:val="1ED14821"/>
    <w:rsid w:val="1ED51ED3"/>
    <w:rsid w:val="1F9C61EE"/>
    <w:rsid w:val="1FA51FD0"/>
    <w:rsid w:val="1FDD6E90"/>
    <w:rsid w:val="20282386"/>
    <w:rsid w:val="206C658E"/>
    <w:rsid w:val="20823833"/>
    <w:rsid w:val="214B29C3"/>
    <w:rsid w:val="21610D1A"/>
    <w:rsid w:val="21B0403A"/>
    <w:rsid w:val="22243F01"/>
    <w:rsid w:val="2276562D"/>
    <w:rsid w:val="22DB2A40"/>
    <w:rsid w:val="24783EEF"/>
    <w:rsid w:val="24E223DF"/>
    <w:rsid w:val="256D6A5C"/>
    <w:rsid w:val="25943A43"/>
    <w:rsid w:val="261B0526"/>
    <w:rsid w:val="263D325B"/>
    <w:rsid w:val="26FF6F87"/>
    <w:rsid w:val="27F03BE0"/>
    <w:rsid w:val="28944AE8"/>
    <w:rsid w:val="289D4B33"/>
    <w:rsid w:val="291569D6"/>
    <w:rsid w:val="297A4149"/>
    <w:rsid w:val="29F125D5"/>
    <w:rsid w:val="2A8A6AAE"/>
    <w:rsid w:val="2D1139F4"/>
    <w:rsid w:val="30371A3E"/>
    <w:rsid w:val="30681285"/>
    <w:rsid w:val="31C978BE"/>
    <w:rsid w:val="32D5248E"/>
    <w:rsid w:val="35BF0790"/>
    <w:rsid w:val="361402BE"/>
    <w:rsid w:val="36727BE2"/>
    <w:rsid w:val="368D0A96"/>
    <w:rsid w:val="36FD2DEB"/>
    <w:rsid w:val="37737E5C"/>
    <w:rsid w:val="38376840"/>
    <w:rsid w:val="38C94119"/>
    <w:rsid w:val="396041AC"/>
    <w:rsid w:val="3A00614F"/>
    <w:rsid w:val="3BB7353F"/>
    <w:rsid w:val="3D6E2980"/>
    <w:rsid w:val="3E623E77"/>
    <w:rsid w:val="3E8C40FA"/>
    <w:rsid w:val="3EE33056"/>
    <w:rsid w:val="3F3B6E9F"/>
    <w:rsid w:val="3FB54866"/>
    <w:rsid w:val="3FD61700"/>
    <w:rsid w:val="3FDB4E00"/>
    <w:rsid w:val="40250D4D"/>
    <w:rsid w:val="40D51792"/>
    <w:rsid w:val="40F16869"/>
    <w:rsid w:val="416424A6"/>
    <w:rsid w:val="42BE4C8C"/>
    <w:rsid w:val="439B196A"/>
    <w:rsid w:val="439C2E9F"/>
    <w:rsid w:val="45366DBD"/>
    <w:rsid w:val="46401036"/>
    <w:rsid w:val="46955E71"/>
    <w:rsid w:val="474B2A15"/>
    <w:rsid w:val="474F4F77"/>
    <w:rsid w:val="47AA50B6"/>
    <w:rsid w:val="48592FEA"/>
    <w:rsid w:val="4A057DE2"/>
    <w:rsid w:val="4A7506E1"/>
    <w:rsid w:val="4B59499D"/>
    <w:rsid w:val="4B645E43"/>
    <w:rsid w:val="4B87460E"/>
    <w:rsid w:val="4B94037D"/>
    <w:rsid w:val="4CCC3C6F"/>
    <w:rsid w:val="4D3523D3"/>
    <w:rsid w:val="4DB51293"/>
    <w:rsid w:val="4E2C1CC7"/>
    <w:rsid w:val="4FAC0F2D"/>
    <w:rsid w:val="4FBF17B7"/>
    <w:rsid w:val="50007E81"/>
    <w:rsid w:val="500D7D0B"/>
    <w:rsid w:val="508C4293"/>
    <w:rsid w:val="521A7572"/>
    <w:rsid w:val="52481C2F"/>
    <w:rsid w:val="52A25A99"/>
    <w:rsid w:val="52B850BE"/>
    <w:rsid w:val="53061176"/>
    <w:rsid w:val="53561A52"/>
    <w:rsid w:val="53BE757D"/>
    <w:rsid w:val="54AD2824"/>
    <w:rsid w:val="55056B59"/>
    <w:rsid w:val="559D56A6"/>
    <w:rsid w:val="561A1EEF"/>
    <w:rsid w:val="563863F3"/>
    <w:rsid w:val="567A127C"/>
    <w:rsid w:val="5763323A"/>
    <w:rsid w:val="57D26D20"/>
    <w:rsid w:val="587009E0"/>
    <w:rsid w:val="58DB32C9"/>
    <w:rsid w:val="590E504B"/>
    <w:rsid w:val="597077FA"/>
    <w:rsid w:val="59C95D39"/>
    <w:rsid w:val="59F81A95"/>
    <w:rsid w:val="5AF54827"/>
    <w:rsid w:val="5B522E89"/>
    <w:rsid w:val="5B6806D3"/>
    <w:rsid w:val="5C8C1F35"/>
    <w:rsid w:val="5DA233C7"/>
    <w:rsid w:val="5DA84284"/>
    <w:rsid w:val="5DE470D4"/>
    <w:rsid w:val="5E361890"/>
    <w:rsid w:val="5EE565D7"/>
    <w:rsid w:val="5EE832F7"/>
    <w:rsid w:val="5F486175"/>
    <w:rsid w:val="60E569DB"/>
    <w:rsid w:val="61174B37"/>
    <w:rsid w:val="61B06041"/>
    <w:rsid w:val="61E07132"/>
    <w:rsid w:val="620913F7"/>
    <w:rsid w:val="623D1C57"/>
    <w:rsid w:val="626E4B50"/>
    <w:rsid w:val="62866D8E"/>
    <w:rsid w:val="63E836CF"/>
    <w:rsid w:val="64157FE1"/>
    <w:rsid w:val="64792A73"/>
    <w:rsid w:val="64F90EBE"/>
    <w:rsid w:val="67804B47"/>
    <w:rsid w:val="695B1709"/>
    <w:rsid w:val="6A85538B"/>
    <w:rsid w:val="6AEE6F18"/>
    <w:rsid w:val="6B6E64BF"/>
    <w:rsid w:val="6C935742"/>
    <w:rsid w:val="6CDA7DDE"/>
    <w:rsid w:val="6F40631D"/>
    <w:rsid w:val="6F5224E9"/>
    <w:rsid w:val="6FBD50B0"/>
    <w:rsid w:val="6FC138AF"/>
    <w:rsid w:val="70037228"/>
    <w:rsid w:val="705C39A2"/>
    <w:rsid w:val="7076253A"/>
    <w:rsid w:val="70871AD7"/>
    <w:rsid w:val="70CE5958"/>
    <w:rsid w:val="70D21960"/>
    <w:rsid w:val="725C70E8"/>
    <w:rsid w:val="73F154C9"/>
    <w:rsid w:val="74765611"/>
    <w:rsid w:val="765C4CB4"/>
    <w:rsid w:val="774F5565"/>
    <w:rsid w:val="77591F00"/>
    <w:rsid w:val="777925E2"/>
    <w:rsid w:val="78621982"/>
    <w:rsid w:val="7A324215"/>
    <w:rsid w:val="7A560E98"/>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1"/>
    <w:pPr>
      <w:ind w:left="-12"/>
      <w:outlineLvl w:val="2"/>
    </w:pPr>
    <w:rPr>
      <w:rFonts w:hint="eastAsia" w:ascii="宋体" w:hAnsi="宋体" w:eastAsia="宋体"/>
      <w:b/>
      <w:sz w:val="36"/>
    </w:rPr>
  </w:style>
  <w:style w:type="paragraph" w:styleId="5">
    <w:name w:val="heading 5"/>
    <w:basedOn w:val="1"/>
    <w:next w:val="1"/>
    <w:link w:val="30"/>
    <w:unhideWhenUsed/>
    <w:qFormat/>
    <w:uiPriority w:val="1"/>
    <w:pPr>
      <w:outlineLvl w:val="4"/>
    </w:pPr>
    <w:rPr>
      <w:rFonts w:hint="eastAsia" w:ascii="宋体" w:hAnsi="宋体" w:eastAsia="宋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eastAsia="zh-CN" w:bidi="zh-CN"/>
    </w:rPr>
  </w:style>
  <w:style w:type="paragraph" w:styleId="6">
    <w:name w:val="Normal Indent"/>
    <w:basedOn w:val="1"/>
    <w:qFormat/>
    <w:uiPriority w:val="99"/>
    <w:pPr>
      <w:ind w:firstLine="420" w:firstLineChars="200"/>
    </w:pPr>
  </w:style>
  <w:style w:type="paragraph" w:styleId="7">
    <w:name w:val="Body Text Indent"/>
    <w:basedOn w:val="1"/>
    <w:qFormat/>
    <w:uiPriority w:val="0"/>
    <w:pPr>
      <w:spacing w:line="520" w:lineRule="exact"/>
      <w:ind w:firstLine="480" w:firstLineChars="200"/>
    </w:pPr>
    <w:rPr>
      <w:rFonts w:ascii="Calibri" w:hAnsi="Calibri"/>
      <w:kern w:val="0"/>
      <w:sz w:val="24"/>
      <w:szCs w:val="20"/>
    </w:rPr>
  </w:style>
  <w:style w:type="paragraph" w:styleId="8">
    <w:name w:val="Plain Text"/>
    <w:basedOn w:val="1"/>
    <w:qFormat/>
    <w:uiPriority w:val="6"/>
    <w:rPr>
      <w:rFonts w:ascii="宋体" w:hAnsi="宋体" w:cs="Courier New"/>
      <w:kern w:val="1"/>
      <w:szCs w:val="21"/>
    </w:rPr>
  </w:style>
  <w:style w:type="paragraph" w:styleId="9">
    <w:name w:val="Date"/>
    <w:basedOn w:val="1"/>
    <w:next w:val="1"/>
    <w:link w:val="22"/>
    <w:semiHidden/>
    <w:unhideWhenUsed/>
    <w:qFormat/>
    <w:uiPriority w:val="99"/>
    <w:pPr>
      <w:ind w:left="100" w:leftChars="2500"/>
    </w:p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styleId="14">
    <w:name w:val="Body Text First Indent 2"/>
    <w:basedOn w:val="7"/>
    <w:unhideWhenUsed/>
    <w:qFormat/>
    <w:uiPriority w:val="99"/>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日期 Char"/>
    <w:basedOn w:val="17"/>
    <w:link w:val="9"/>
    <w:semiHidden/>
    <w:qFormat/>
    <w:uiPriority w:val="99"/>
  </w:style>
  <w:style w:type="character" w:customStyle="1" w:styleId="23">
    <w:name w:val="apple-style-span"/>
    <w:basedOn w:val="17"/>
    <w:qFormat/>
    <w:uiPriority w:val="0"/>
    <w:rPr>
      <w:rFonts w:hint="default" w:ascii="Times New Roman"/>
    </w:rPr>
  </w:style>
  <w:style w:type="character" w:customStyle="1" w:styleId="24">
    <w:name w:val="标题 1 Char"/>
    <w:link w:val="3"/>
    <w:qFormat/>
    <w:uiPriority w:val="0"/>
    <w:rPr>
      <w:b/>
      <w:bCs/>
      <w:kern w:val="44"/>
      <w:sz w:val="44"/>
      <w:szCs w:val="44"/>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font11"/>
    <w:basedOn w:val="17"/>
    <w:qFormat/>
    <w:uiPriority w:val="0"/>
    <w:rPr>
      <w:rFonts w:hint="eastAsia" w:ascii="宋体" w:hAnsi="宋体" w:eastAsia="宋体" w:cs="宋体"/>
      <w:color w:val="000000"/>
      <w:sz w:val="24"/>
      <w:szCs w:val="24"/>
      <w:u w:val="none"/>
    </w:rPr>
  </w:style>
  <w:style w:type="paragraph" w:customStyle="1" w:styleId="2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2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29">
    <w:name w:val="Table Paragraph"/>
    <w:basedOn w:val="1"/>
    <w:qFormat/>
    <w:uiPriority w:val="1"/>
    <w:pPr>
      <w:spacing w:before="21"/>
      <w:ind w:left="108"/>
    </w:pPr>
    <w:rPr>
      <w:rFonts w:ascii="宋体" w:hAnsi="宋体" w:eastAsia="宋体" w:cs="宋体"/>
      <w:lang w:val="zh-CN" w:eastAsia="zh-CN" w:bidi="zh-CN"/>
    </w:rPr>
  </w:style>
  <w:style w:type="character" w:customStyle="1" w:styleId="30">
    <w:name w:val="标题 5 Char"/>
    <w:link w:val="5"/>
    <w:qFormat/>
    <w:uiPriority w:val="1"/>
    <w:rPr>
      <w:rFonts w:hint="eastAsia" w:ascii="宋体" w:hAnsi="宋体" w:eastAsia="宋体"/>
      <w:sz w:val="32"/>
    </w:rPr>
  </w:style>
  <w:style w:type="paragraph" w:customStyle="1" w:styleId="31">
    <w:name w:val="表格"/>
    <w:basedOn w:val="1"/>
    <w:qFormat/>
    <w:uiPriority w:val="0"/>
    <w:pPr>
      <w:spacing w:line="400" w:lineRule="exact"/>
    </w:pPr>
    <w:rPr>
      <w:rFonts w:ascii="Times New Roman" w:hAnsi="Times New Roman" w:eastAsia="宋体" w:cs="Times New Roman"/>
      <w:sz w:val="24"/>
      <w:szCs w:val="24"/>
    </w:rPr>
  </w:style>
  <w:style w:type="character" w:customStyle="1" w:styleId="32">
    <w:name w:val="apple-converted-space"/>
    <w:basedOn w:val="17"/>
    <w:qFormat/>
    <w:uiPriority w:val="0"/>
  </w:style>
  <w:style w:type="paragraph" w:customStyle="1" w:styleId="33">
    <w:name w:val="样式 首行缩进:  2 字符"/>
    <w:basedOn w:val="1"/>
    <w:qFormat/>
    <w:uiPriority w:val="99"/>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4830</Words>
  <Characters>6013</Characters>
  <Lines>18</Lines>
  <Paragraphs>5</Paragraphs>
  <TotalTime>18</TotalTime>
  <ScaleCrop>false</ScaleCrop>
  <LinksUpToDate>false</LinksUpToDate>
  <CharactersWithSpaces>6138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痕迹</cp:lastModifiedBy>
  <cp:lastPrinted>2023-06-01T01:16:00Z</cp:lastPrinted>
  <dcterms:modified xsi:type="dcterms:W3CDTF">2023-09-13T00:25:29Z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9F01D610FFAD41C4A70277396BAD400C_13</vt:lpwstr>
  </property>
  <property fmtid="{D5CDD505-2E9C-101B-9397-08002B2CF9AE}" pid="4" name="commondata">
    <vt:lpwstr>eyJoZGlkIjoiOWQwMGZiM2I2N2E5NTM5YjM1OTU4N2UwNzJlMWE3MGIifQ==</vt:lpwstr>
  </property>
</Properties>
</file>