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28"/>
          <w:szCs w:val="28"/>
          <w:lang w:val="en-US" w:eastAsia="zh-CN"/>
        </w:rPr>
      </w:pPr>
      <w:bookmarkStart w:id="0" w:name="_GoBack"/>
      <w:bookmarkEnd w:id="0"/>
      <w:r>
        <w:rPr>
          <w:rFonts w:hint="eastAsia" w:ascii="仿宋_GB2312" w:hAnsi="仿宋_GB2312" w:eastAsia="仿宋_GB2312" w:cs="仿宋_GB2312"/>
          <w:b w:val="0"/>
          <w:bCs w:val="0"/>
          <w:sz w:val="28"/>
          <w:szCs w:val="28"/>
          <w:lang w:val="en-US" w:eastAsia="zh-CN"/>
        </w:rPr>
        <w:t>附件1：</w:t>
      </w:r>
    </w:p>
    <w:p>
      <w:pPr>
        <w:pStyle w:val="2"/>
        <w:tabs>
          <w:tab w:val="left" w:pos="2818"/>
          <w:tab w:val="center" w:pos="4595"/>
        </w:tabs>
        <w:jc w:val="left"/>
        <w:rPr>
          <w:rFonts w:hint="eastAsia"/>
          <w:sz w:val="44"/>
          <w:szCs w:val="44"/>
          <w:lang w:val="en-US" w:eastAsia="zh-CN"/>
        </w:rPr>
      </w:pPr>
      <w:r>
        <w:rPr>
          <w:rFonts w:hint="eastAsia" w:ascii="黑体" w:hAnsi="黑体" w:eastAsia="黑体" w:cs="黑体"/>
          <w:b w:val="0"/>
          <w:bCs w:val="0"/>
          <w:color w:val="auto"/>
          <w:sz w:val="44"/>
          <w:szCs w:val="44"/>
          <w:lang w:eastAsia="zh-CN"/>
        </w:rPr>
        <w:tab/>
      </w:r>
      <w:r>
        <w:rPr>
          <w:rFonts w:hint="eastAsia" w:ascii="黑体" w:hAnsi="黑体" w:eastAsia="黑体" w:cs="黑体"/>
          <w:b w:val="0"/>
          <w:bCs w:val="0"/>
          <w:color w:val="auto"/>
          <w:sz w:val="44"/>
          <w:szCs w:val="44"/>
          <w:lang w:eastAsia="zh-CN"/>
        </w:rPr>
        <w:tab/>
      </w:r>
      <w:r>
        <w:rPr>
          <w:rFonts w:hint="eastAsia" w:ascii="黑体" w:hAnsi="黑体" w:eastAsia="黑体" w:cs="黑体"/>
          <w:b w:val="0"/>
          <w:bCs w:val="0"/>
          <w:color w:val="auto"/>
          <w:sz w:val="44"/>
          <w:szCs w:val="44"/>
        </w:rPr>
        <w:t>项目内容及要求</w:t>
      </w: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项目内容</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lang w:val="en-US" w:eastAsia="zh-CN"/>
        </w:rPr>
        <w:t>本项目包括但不限于</w:t>
      </w:r>
      <w:r>
        <w:rPr>
          <w:rFonts w:hint="eastAsia" w:ascii="仿宋_GB2312" w:hAnsi="仿宋_GB2312" w:eastAsia="仿宋_GB2312" w:cs="仿宋_GB2312"/>
          <w:b w:val="0"/>
          <w:bCs w:val="0"/>
          <w:color w:val="auto"/>
          <w:sz w:val="32"/>
          <w:szCs w:val="32"/>
        </w:rPr>
        <w:t>标识标牌、展板</w:t>
      </w:r>
      <w:r>
        <w:rPr>
          <w:rFonts w:hint="eastAsia" w:ascii="仿宋_GB2312" w:hAnsi="仿宋_GB2312" w:eastAsia="仿宋_GB2312" w:cs="仿宋_GB2312"/>
          <w:b w:val="0"/>
          <w:bCs w:val="0"/>
          <w:color w:val="auto"/>
          <w:sz w:val="32"/>
          <w:szCs w:val="32"/>
          <w:lang w:eastAsia="zh-CN"/>
        </w:rPr>
        <w:t>、标识标牌、展板、名片、工作牌、宣传单</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eastAsia="zh-CN"/>
        </w:rPr>
        <w:t>零星</w:t>
      </w:r>
      <w:r>
        <w:rPr>
          <w:rFonts w:hint="eastAsia" w:ascii="仿宋_GB2312" w:hAnsi="仿宋_GB2312" w:eastAsia="仿宋_GB2312" w:cs="仿宋_GB2312"/>
          <w:b w:val="0"/>
          <w:bCs w:val="0"/>
          <w:color w:val="auto"/>
          <w:sz w:val="32"/>
          <w:szCs w:val="32"/>
        </w:rPr>
        <w:t>广告设计、制作、</w:t>
      </w:r>
      <w:r>
        <w:rPr>
          <w:rFonts w:hint="eastAsia" w:ascii="仿宋_GB2312" w:hAnsi="仿宋_GB2312" w:eastAsia="仿宋_GB2312" w:cs="仿宋_GB2312"/>
          <w:b w:val="0"/>
          <w:bCs w:val="0"/>
          <w:color w:val="auto"/>
          <w:sz w:val="32"/>
          <w:szCs w:val="32"/>
          <w:lang w:eastAsia="zh-CN"/>
        </w:rPr>
        <w:t>配送、</w:t>
      </w:r>
      <w:r>
        <w:rPr>
          <w:rFonts w:hint="eastAsia" w:ascii="仿宋_GB2312" w:hAnsi="仿宋_GB2312" w:eastAsia="仿宋_GB2312" w:cs="仿宋_GB2312"/>
          <w:b w:val="0"/>
          <w:bCs w:val="0"/>
          <w:color w:val="auto"/>
          <w:sz w:val="32"/>
          <w:szCs w:val="32"/>
        </w:rPr>
        <w:t>安装（实际用量按实际结算）</w:t>
      </w:r>
      <w:r>
        <w:rPr>
          <w:rFonts w:hint="eastAsia" w:ascii="仿宋_GB2312" w:hAnsi="仿宋_GB2312" w:eastAsia="仿宋_GB2312" w:cs="仿宋_GB2312"/>
          <w:b w:val="0"/>
          <w:bCs w:val="0"/>
          <w:color w:val="auto"/>
          <w:sz w:val="32"/>
          <w:szCs w:val="32"/>
          <w:lang w:eastAsia="zh-CN"/>
        </w:rPr>
        <w:t>，要考虑反复、多次设计制作、配送、安装的可能性。</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（二）供应商</w:t>
      </w:r>
      <w:r>
        <w:rPr>
          <w:rFonts w:hint="eastAsia" w:ascii="仿宋_GB2312" w:hAnsi="仿宋_GB2312" w:eastAsia="仿宋_GB2312" w:cs="仿宋_GB2312"/>
          <w:b w:val="0"/>
          <w:bCs w:val="0"/>
          <w:color w:val="auto"/>
          <w:sz w:val="32"/>
          <w:szCs w:val="32"/>
        </w:rPr>
        <w:t>负责的内容是价格单项或者单项批量</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万元以内的</w:t>
      </w:r>
      <w:r>
        <w:rPr>
          <w:rFonts w:hint="eastAsia" w:ascii="仿宋_GB2312" w:hAnsi="仿宋_GB2312" w:eastAsia="仿宋_GB2312" w:cs="仿宋_GB2312"/>
          <w:b w:val="0"/>
          <w:bCs w:val="0"/>
          <w:color w:val="auto"/>
          <w:sz w:val="32"/>
          <w:szCs w:val="32"/>
          <w:lang w:eastAsia="zh-CN"/>
        </w:rPr>
        <w:t>标识标牌、展板、名片、工作牌、宣传单等</w:t>
      </w:r>
      <w:r>
        <w:rPr>
          <w:rFonts w:hint="eastAsia" w:ascii="仿宋_GB2312" w:hAnsi="仿宋_GB2312" w:eastAsia="仿宋_GB2312" w:cs="仿宋_GB2312"/>
          <w:b w:val="0"/>
          <w:bCs w:val="0"/>
          <w:color w:val="auto"/>
          <w:sz w:val="32"/>
          <w:szCs w:val="32"/>
        </w:rPr>
        <w:t>零星</w:t>
      </w:r>
      <w:r>
        <w:rPr>
          <w:rFonts w:hint="eastAsia" w:ascii="仿宋_GB2312" w:hAnsi="仿宋_GB2312" w:eastAsia="仿宋_GB2312" w:cs="仿宋_GB2312"/>
          <w:b w:val="0"/>
          <w:bCs w:val="0"/>
          <w:color w:val="auto"/>
          <w:sz w:val="32"/>
          <w:szCs w:val="32"/>
          <w:lang w:eastAsia="zh-CN"/>
        </w:rPr>
        <w:t>广告</w:t>
      </w:r>
      <w:r>
        <w:rPr>
          <w:rFonts w:hint="eastAsia" w:ascii="仿宋_GB2312" w:hAnsi="仿宋_GB2312" w:eastAsia="仿宋_GB2312" w:cs="仿宋_GB2312"/>
          <w:b w:val="0"/>
          <w:bCs w:val="0"/>
          <w:color w:val="auto"/>
          <w:sz w:val="32"/>
          <w:szCs w:val="32"/>
        </w:rPr>
        <w:t>。单价或者单项批量价格超过</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及以上</w:t>
      </w:r>
      <w:r>
        <w:rPr>
          <w:rFonts w:hint="eastAsia" w:ascii="仿宋_GB2312" w:hAnsi="仿宋_GB2312" w:eastAsia="仿宋_GB2312" w:cs="仿宋_GB2312"/>
          <w:b w:val="0"/>
          <w:bCs w:val="0"/>
          <w:color w:val="auto"/>
          <w:sz w:val="32"/>
          <w:szCs w:val="32"/>
        </w:rPr>
        <w:t>的单独招标</w:t>
      </w:r>
      <w:r>
        <w:rPr>
          <w:rFonts w:hint="eastAsia" w:ascii="仿宋_GB2312" w:hAnsi="仿宋_GB2312" w:eastAsia="仿宋_GB2312" w:cs="仿宋_GB2312"/>
          <w:b w:val="0"/>
          <w:bCs w:val="0"/>
          <w:color w:val="auto"/>
          <w:sz w:val="32"/>
          <w:szCs w:val="32"/>
          <w:lang w:eastAsia="zh-CN"/>
        </w:rPr>
        <w:t>。</w:t>
      </w: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、费用及服务期限</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控制价：</w:t>
      </w:r>
      <w:r>
        <w:rPr>
          <w:rFonts w:hint="eastAsia" w:ascii="仿宋_GB2312" w:hAnsi="仿宋_GB2312" w:eastAsia="仿宋_GB2312" w:cs="仿宋_GB2312"/>
          <w:b w:val="0"/>
          <w:bCs w:val="0"/>
          <w:color w:val="auto"/>
          <w:sz w:val="32"/>
          <w:szCs w:val="32"/>
          <w:lang w:eastAsia="zh-CN"/>
        </w:rPr>
        <w:t>人民币</w:t>
      </w:r>
      <w:r>
        <w:rPr>
          <w:rFonts w:hint="eastAsia" w:ascii="仿宋_GB2312" w:hAnsi="仿宋_GB2312" w:eastAsia="仿宋_GB2312" w:cs="仿宋_GB2312"/>
          <w:b w:val="0"/>
          <w:bCs w:val="0"/>
          <w:color w:val="auto"/>
          <w:sz w:val="32"/>
          <w:szCs w:val="32"/>
          <w:lang w:val="en-US" w:eastAsia="zh-CN"/>
        </w:rPr>
        <w:t>27.9</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（大写：贰拾柒万玖仟元整），</w:t>
      </w:r>
      <w:r>
        <w:rPr>
          <w:rFonts w:hint="eastAsia" w:ascii="仿宋_GB2312" w:hAnsi="仿宋_GB2312" w:eastAsia="仿宋_GB2312" w:cs="仿宋_GB2312"/>
          <w:b w:val="0"/>
          <w:bCs w:val="0"/>
          <w:color w:val="auto"/>
          <w:sz w:val="32"/>
          <w:szCs w:val="32"/>
        </w:rPr>
        <w:t>包含设计、制作、包装、样品、安装、送达、税费等所有费用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具体价格见附件</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请</w:t>
      </w:r>
      <w:r>
        <w:rPr>
          <w:rFonts w:hint="eastAsia" w:ascii="仿宋_GB2312" w:hAnsi="仿宋_GB2312" w:eastAsia="仿宋_GB2312" w:cs="仿宋_GB2312"/>
          <w:b w:val="0"/>
          <w:bCs w:val="0"/>
          <w:color w:val="auto"/>
          <w:sz w:val="32"/>
          <w:szCs w:val="32"/>
          <w:lang w:eastAsia="zh-CN"/>
        </w:rPr>
        <w:t>同时</w:t>
      </w:r>
      <w:r>
        <w:rPr>
          <w:rFonts w:hint="eastAsia" w:ascii="仿宋_GB2312" w:hAnsi="仿宋_GB2312" w:eastAsia="仿宋_GB2312" w:cs="仿宋_GB2312"/>
          <w:b w:val="0"/>
          <w:bCs w:val="0"/>
          <w:color w:val="auto"/>
          <w:sz w:val="32"/>
          <w:szCs w:val="32"/>
        </w:rPr>
        <w:t>参照附件</w:t>
      </w:r>
      <w:r>
        <w:rPr>
          <w:rFonts w:hint="eastAsia" w:ascii="仿宋_GB2312" w:hAnsi="仿宋_GB2312" w:eastAsia="仿宋_GB2312" w:cs="仿宋_GB2312"/>
          <w:b w:val="0"/>
          <w:bCs w:val="0"/>
          <w:color w:val="auto"/>
          <w:sz w:val="32"/>
          <w:szCs w:val="32"/>
          <w:lang w:val="en-US" w:eastAsia="zh-CN"/>
        </w:rPr>
        <w:t>2按统一下浮比例</w:t>
      </w:r>
      <w:r>
        <w:rPr>
          <w:rFonts w:hint="eastAsia" w:ascii="仿宋_GB2312" w:hAnsi="仿宋_GB2312" w:eastAsia="仿宋_GB2312" w:cs="仿宋_GB2312"/>
          <w:b w:val="0"/>
          <w:bCs w:val="0"/>
          <w:color w:val="auto"/>
          <w:sz w:val="32"/>
          <w:szCs w:val="32"/>
        </w:rPr>
        <w:t>进行报价</w:t>
      </w:r>
      <w:r>
        <w:rPr>
          <w:rFonts w:hint="eastAsia" w:ascii="仿宋_GB2312" w:hAnsi="仿宋_GB2312" w:eastAsia="仿宋_GB2312" w:cs="仿宋_GB2312"/>
          <w:b w:val="0"/>
          <w:bCs w:val="0"/>
          <w:color w:val="auto"/>
          <w:sz w:val="32"/>
          <w:szCs w:val="32"/>
          <w:lang w:eastAsia="zh-CN"/>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服务期限：合同签订之日起</w:t>
      </w:r>
      <w:r>
        <w:rPr>
          <w:rFonts w:hint="eastAsia" w:ascii="仿宋_GB2312" w:hAnsi="仿宋_GB2312" w:eastAsia="仿宋_GB2312" w:cs="仿宋_GB2312"/>
          <w:b w:val="0"/>
          <w:bCs w:val="0"/>
          <w:color w:val="auto"/>
          <w:sz w:val="32"/>
          <w:szCs w:val="32"/>
          <w:lang w:val="en-US" w:eastAsia="zh-CN"/>
        </w:rPr>
        <w:t>12个月</w:t>
      </w:r>
      <w:r>
        <w:rPr>
          <w:rFonts w:hint="eastAsia" w:ascii="仿宋_GB2312" w:hAnsi="仿宋_GB2312" w:eastAsia="仿宋_GB2312" w:cs="仿宋_GB2312"/>
          <w:b w:val="0"/>
          <w:bCs w:val="0"/>
          <w:color w:val="auto"/>
          <w:sz w:val="32"/>
          <w:szCs w:val="32"/>
        </w:rPr>
        <w:t>。</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支付方式：</w:t>
      </w:r>
      <w:r>
        <w:rPr>
          <w:rFonts w:hint="eastAsia" w:ascii="仿宋_GB2312" w:hAnsi="仿宋_GB2312" w:eastAsia="仿宋_GB2312" w:cs="仿宋_GB2312"/>
          <w:b w:val="0"/>
          <w:bCs w:val="0"/>
          <w:color w:val="auto"/>
          <w:sz w:val="32"/>
          <w:szCs w:val="32"/>
          <w:lang w:val="en-US" w:eastAsia="zh-CN"/>
        </w:rPr>
        <w:t>按照实际数量，以中标单价进行每季度核计结算。供应商每季度最后一周将该季度收货人签字清单、付款清单汇总表（需区分中标项目内、外内容）交采购人审核。</w:t>
      </w:r>
      <w:r>
        <w:rPr>
          <w:rFonts w:hint="eastAsia" w:ascii="仿宋_GB2312" w:hAnsi="仿宋_GB2312" w:eastAsia="仿宋_GB2312" w:cs="仿宋_GB2312"/>
          <w:b w:val="0"/>
          <w:bCs w:val="0"/>
          <w:color w:val="auto"/>
          <w:sz w:val="32"/>
          <w:szCs w:val="32"/>
          <w:lang w:eastAsia="zh-CN"/>
        </w:rPr>
        <w:t>中标项目单价之外的，双方应进行议价，</w:t>
      </w:r>
      <w:r>
        <w:rPr>
          <w:rFonts w:hint="eastAsia" w:ascii="仿宋_GB2312" w:hAnsi="仿宋_GB2312" w:eastAsia="仿宋_GB2312" w:cs="仿宋_GB2312"/>
          <w:b w:val="0"/>
          <w:bCs w:val="0"/>
          <w:color w:val="auto"/>
          <w:sz w:val="32"/>
          <w:szCs w:val="32"/>
          <w:lang w:val="en-US" w:eastAsia="zh-CN"/>
        </w:rPr>
        <w:t>确定优惠折扣。供应商开具合法有效完整的完税发票及凭证资料进行支付结算。</w:t>
      </w:r>
    </w:p>
    <w:p>
      <w:pPr>
        <w:ind w:firstLine="640" w:firstLineChars="200"/>
        <w:rPr>
          <w:rFonts w:hint="eastAsia" w:ascii="仿宋_GB2312" w:hAnsi="仿宋_GB2312" w:eastAsia="黑体" w:cs="仿宋_GB2312"/>
          <w:b w:val="0"/>
          <w:bCs w:val="0"/>
          <w:color w:val="auto"/>
          <w:sz w:val="32"/>
          <w:szCs w:val="32"/>
          <w:lang w:eastAsia="zh-CN"/>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商务要求</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（一）风险承担及责任认定</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1.在履行本项目合同过程中，所发生的一切安全事故，包括但不限于因意外事故或作业安全问题引发的人身伤亡和财产损失，以及供应商的工作人员工伤风险等，均由供应商自行承担，采购人不承担任何责任。</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2.治安事件的责任认定，以公安部门裁定为准；非治安事件的责任认定，由双方协商，协商不成的，以诉讼或仲裁方式认定。</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3.供应商在服务作业过程中由于操作不当造成的采购物料损坏，验收时采购人可拒绝签收，费用由供应商人自行承担。</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（二）供应商提供的产品及物料应符合国家相关环保标准。</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供应商应保证本项目在使用、服务时，不会产生第三方提出侵犯其专利权、商标权或其他知识产权而引起的法律和经济纠纷，如因专利权、商标权或其他知识产权而引起法律和经济纠纷，由供应商承担所有责任并赔偿采购人损失。</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（四）售后要求</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所有标识产品货物保证在交付采购人使用之日起，承诺一年或以上质量保证期，在质量保证期内提供7天×24小时免费售后服务。在质保期内供应商免费提供标识产品货物正常使用情况下的维修及保养服务，如用户单位需要，可随时讲解其广告宣传物料的结构、设计与维护重点及方法。供应商应在接到故障通知后1小时内到达现场，一般情况在4小时内须排除故障，特殊情况需与采购人说明情况，并提供代用货物，保证采购人的正常工作使用。</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2.供应商所供标识产品货物须承诺实行“三包”（“包修、包换、包退”），若发现本次采购的标识产品货物存在缺陷，供应商须无条件退货并重新按要求制作、安装。</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3.所有广告宣传物料均由供应商免费送货至采购人指定的交货地点并安装调试好（特别约定的除外）。若因供应商原因导致物料大小、色彩不符合要求，应免费进行更换。</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4.供应商供货时应提供包括但不限于满足货物安装、使用和维护的技术文件，如货物和附件装箱清单、质量合格检定证明文件、保修服务卡、使用说明和中文维护手册。</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（五）其它要求</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至少</w:t>
      </w:r>
      <w:r>
        <w:rPr>
          <w:rFonts w:hint="eastAsia" w:ascii="仿宋_GB2312" w:hAnsi="仿宋_GB2312" w:eastAsia="仿宋_GB2312" w:cs="仿宋_GB2312"/>
          <w:b w:val="0"/>
          <w:bCs w:val="0"/>
          <w:color w:val="auto"/>
          <w:sz w:val="32"/>
          <w:szCs w:val="32"/>
          <w:lang w:eastAsia="zh-CN"/>
        </w:rPr>
        <w:t>固定</w:t>
      </w:r>
      <w:r>
        <w:rPr>
          <w:rFonts w:hint="eastAsia" w:ascii="仿宋_GB2312" w:hAnsi="仿宋_GB2312" w:eastAsia="仿宋_GB2312" w:cs="仿宋_GB2312"/>
          <w:b w:val="0"/>
          <w:bCs w:val="0"/>
          <w:color w:val="auto"/>
          <w:sz w:val="32"/>
          <w:szCs w:val="32"/>
        </w:rPr>
        <w:t>一名专业设计师作为长期对接人员。</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.设计必须在</w:t>
      </w:r>
      <w:r>
        <w:rPr>
          <w:rFonts w:hint="eastAsia" w:ascii="仿宋_GB2312" w:hAnsi="仿宋_GB2312" w:eastAsia="仿宋_GB2312" w:cs="仿宋_GB2312"/>
          <w:b w:val="0"/>
          <w:bCs w:val="0"/>
          <w:color w:val="auto"/>
          <w:sz w:val="32"/>
          <w:szCs w:val="32"/>
          <w:lang w:eastAsia="zh-CN"/>
        </w:rPr>
        <w:t>采购人</w:t>
      </w:r>
      <w:r>
        <w:rPr>
          <w:rFonts w:hint="eastAsia" w:ascii="仿宋_GB2312" w:hAnsi="仿宋_GB2312" w:eastAsia="仿宋_GB2312" w:cs="仿宋_GB2312"/>
          <w:b w:val="0"/>
          <w:bCs w:val="0"/>
          <w:color w:val="auto"/>
          <w:sz w:val="32"/>
          <w:szCs w:val="32"/>
        </w:rPr>
        <w:t>规定时间内按</w:t>
      </w:r>
      <w:r>
        <w:rPr>
          <w:rFonts w:hint="eastAsia" w:ascii="仿宋_GB2312" w:hAnsi="仿宋_GB2312" w:eastAsia="仿宋_GB2312" w:cs="仿宋_GB2312"/>
          <w:b w:val="0"/>
          <w:bCs w:val="0"/>
          <w:color w:val="auto"/>
          <w:sz w:val="32"/>
          <w:szCs w:val="32"/>
          <w:lang w:eastAsia="zh-CN"/>
        </w:rPr>
        <w:t>采购人</w:t>
      </w:r>
      <w:r>
        <w:rPr>
          <w:rFonts w:hint="eastAsia" w:ascii="仿宋_GB2312" w:hAnsi="仿宋_GB2312" w:eastAsia="仿宋_GB2312" w:cs="仿宋_GB2312"/>
          <w:b w:val="0"/>
          <w:bCs w:val="0"/>
          <w:color w:val="auto"/>
          <w:sz w:val="32"/>
          <w:szCs w:val="32"/>
        </w:rPr>
        <w:t>要求完成，</w:t>
      </w:r>
      <w:r>
        <w:rPr>
          <w:rFonts w:hint="eastAsia" w:ascii="仿宋_GB2312" w:hAnsi="仿宋_GB2312" w:eastAsia="仿宋_GB2312" w:cs="仿宋_GB2312"/>
          <w:b w:val="0"/>
          <w:bCs w:val="0"/>
          <w:color w:val="auto"/>
          <w:sz w:val="32"/>
          <w:szCs w:val="32"/>
          <w:lang w:eastAsia="zh-CN"/>
        </w:rPr>
        <w:t>且应</w:t>
      </w:r>
      <w:r>
        <w:rPr>
          <w:rFonts w:hint="eastAsia" w:ascii="仿宋_GB2312" w:hAnsi="仿宋_GB2312" w:eastAsia="仿宋_GB2312" w:cs="仿宋_GB2312"/>
          <w:b w:val="0"/>
          <w:bCs w:val="0"/>
          <w:color w:val="auto"/>
          <w:sz w:val="32"/>
          <w:szCs w:val="32"/>
        </w:rPr>
        <w:t>充分考虑到设计的复杂性和修改的反复性。制作及送达指定地点必须在设计稿确定后1—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天内完成，紧急广告</w:t>
      </w:r>
      <w:r>
        <w:rPr>
          <w:rFonts w:hint="eastAsia" w:ascii="仿宋_GB2312" w:hAnsi="仿宋_GB2312" w:eastAsia="仿宋_GB2312" w:cs="仿宋_GB2312"/>
          <w:b w:val="0"/>
          <w:bCs w:val="0"/>
          <w:color w:val="auto"/>
          <w:sz w:val="32"/>
          <w:szCs w:val="32"/>
          <w:lang w:eastAsia="zh-CN"/>
        </w:rPr>
        <w:t>在采购人规定时间内</w:t>
      </w:r>
      <w:r>
        <w:rPr>
          <w:rFonts w:hint="eastAsia" w:ascii="仿宋_GB2312" w:hAnsi="仿宋_GB2312" w:eastAsia="仿宋_GB2312" w:cs="仿宋_GB2312"/>
          <w:b w:val="0"/>
          <w:bCs w:val="0"/>
          <w:color w:val="auto"/>
          <w:sz w:val="32"/>
          <w:szCs w:val="32"/>
        </w:rPr>
        <w:t>完成制作及送达。</w:t>
      </w:r>
    </w:p>
    <w:p>
      <w:pPr>
        <w:pStyle w:val="2"/>
        <w:ind w:firstLine="640" w:firstLineChars="200"/>
        <w:rPr>
          <w:rFonts w:hint="eastAsia" w:eastAsia="仿宋_GB2312"/>
          <w:b w:val="0"/>
          <w:bCs w:val="0"/>
          <w:color w:val="auto"/>
          <w:lang w:val="en-US" w:eastAsia="zh-CN"/>
        </w:rPr>
      </w:pPr>
      <w:r>
        <w:rPr>
          <w:rFonts w:hint="eastAsia" w:ascii="仿宋_GB2312" w:hAnsi="仿宋_GB2312" w:eastAsia="仿宋_GB2312" w:cs="仿宋_GB2312"/>
          <w:b w:val="0"/>
          <w:bCs w:val="0"/>
          <w:color w:val="auto"/>
          <w:sz w:val="32"/>
          <w:szCs w:val="32"/>
          <w:lang w:val="en-US" w:eastAsia="zh-CN"/>
        </w:rPr>
        <w:t>3.供应商每2月应派专人对院内院外所有广告物料进行实地查看，及时维护、清理院区广告，查看认定需各科室负责人或护士长签字，最终由医院宣传统战科审定为准。</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4.所有样品的设计、制作、运输等一切费用由供应商自理，采购人不作任何补偿。</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5.交货地点：采购人指定地点。</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若有新增的规格等其它特殊情况另行商议。</w:t>
      </w:r>
    </w:p>
    <w:p>
      <w:pPr>
        <w:rPr>
          <w:rFonts w:hint="eastAsia" w:ascii="楷体" w:hAnsi="楷体" w:eastAsia="楷体" w:cs="楷体"/>
          <w:b w:val="0"/>
          <w:bCs w:val="0"/>
          <w:color w:val="auto"/>
          <w:sz w:val="28"/>
          <w:szCs w:val="28"/>
          <w:lang w:val="en-US" w:eastAsia="zh-CN"/>
        </w:rPr>
      </w:pPr>
    </w:p>
    <w:p>
      <w:pPr>
        <w:rPr>
          <w:rFonts w:hint="eastAsia" w:ascii="楷体" w:hAnsi="楷体" w:eastAsia="楷体" w:cs="楷体"/>
          <w:b w:val="0"/>
          <w:bCs w:val="0"/>
          <w:color w:val="auto"/>
          <w:sz w:val="28"/>
          <w:szCs w:val="28"/>
          <w:lang w:val="en-US" w:eastAsia="zh-CN"/>
        </w:rPr>
      </w:pPr>
    </w:p>
    <w:p>
      <w:pPr>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附件2：</w:t>
      </w:r>
    </w:p>
    <w:p>
      <w:pPr>
        <w:jc w:val="center"/>
        <w:rPr>
          <w:rFonts w:hint="default" w:ascii="仿宋_GB2312" w:hAnsi="仿宋_GB2312" w:eastAsia="仿宋_GB2312" w:cs="仿宋_GB2312"/>
          <w:b w:val="0"/>
          <w:bCs w:val="0"/>
          <w:color w:val="auto"/>
          <w:sz w:val="32"/>
          <w:szCs w:val="32"/>
          <w:lang w:val="en-US" w:eastAsia="zh-CN"/>
        </w:rPr>
      </w:pPr>
      <w:r>
        <w:rPr>
          <w:rFonts w:hint="eastAsia" w:ascii="微软雅黑" w:hAnsi="微软雅黑" w:eastAsia="微软雅黑" w:cs="微软雅黑"/>
          <w:b w:val="0"/>
          <w:bCs w:val="0"/>
          <w:color w:val="auto"/>
          <w:sz w:val="44"/>
          <w:szCs w:val="44"/>
          <w:lang w:val="en-US" w:eastAsia="zh-CN"/>
        </w:rPr>
        <w:t>标识标牌、展板等零星广告制作清单</w:t>
      </w:r>
    </w:p>
    <w:tbl>
      <w:tblPr>
        <w:tblStyle w:val="14"/>
        <w:tblW w:w="0" w:type="auto"/>
        <w:tblInd w:w="-14" w:type="dxa"/>
        <w:tblLayout w:type="fixed"/>
        <w:tblCellMar>
          <w:top w:w="0" w:type="dxa"/>
          <w:left w:w="108" w:type="dxa"/>
          <w:bottom w:w="0" w:type="dxa"/>
          <w:right w:w="108" w:type="dxa"/>
        </w:tblCellMar>
      </w:tblPr>
      <w:tblGrid>
        <w:gridCol w:w="563"/>
        <w:gridCol w:w="1642"/>
        <w:gridCol w:w="975"/>
        <w:gridCol w:w="3135"/>
        <w:gridCol w:w="1006"/>
        <w:gridCol w:w="879"/>
        <w:gridCol w:w="1100"/>
      </w:tblGrid>
      <w:tr>
        <w:tblPrEx>
          <w:tblCellMar>
            <w:top w:w="0" w:type="dxa"/>
            <w:left w:w="108" w:type="dxa"/>
            <w:bottom w:w="0" w:type="dxa"/>
            <w:right w:w="108" w:type="dxa"/>
          </w:tblCellMar>
        </w:tblPrEx>
        <w:trPr>
          <w:trHeight w:val="946"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rPr>
              <w:t>产品材质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rPr>
              <w:t>单位</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rPr>
              <w:t>规格</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b/>
                <w:bCs/>
                <w:kern w:val="0"/>
                <w:sz w:val="22"/>
                <w:szCs w:val="22"/>
                <w:lang w:eastAsia="zh-CN"/>
              </w:rPr>
              <w:t>控制单价</w:t>
            </w:r>
            <w:r>
              <w:rPr>
                <w:rFonts w:hint="eastAsia" w:ascii="宋体" w:hAnsi="宋体" w:eastAsia="宋体" w:cs="宋体"/>
                <w:b/>
                <w:bCs/>
                <w:kern w:val="0"/>
                <w:sz w:val="22"/>
                <w:szCs w:val="22"/>
              </w:rPr>
              <w:t>（元）</w:t>
            </w:r>
          </w:p>
        </w:tc>
        <w:tc>
          <w:tcPr>
            <w:tcW w:w="879"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szCs w:val="22"/>
              </w:rPr>
            </w:pPr>
            <w:r>
              <w:rPr>
                <w:rFonts w:hint="eastAsia" w:ascii="宋体" w:hAnsi="宋体" w:eastAsia="宋体" w:cs="宋体"/>
                <w:b/>
                <w:bCs/>
                <w:kern w:val="0"/>
                <w:sz w:val="22"/>
                <w:szCs w:val="22"/>
                <w:lang w:eastAsia="zh-CN"/>
              </w:rPr>
              <w:t>年</w:t>
            </w:r>
            <w:r>
              <w:rPr>
                <w:rFonts w:hint="eastAsia" w:ascii="宋体" w:hAnsi="宋体" w:eastAsia="宋体" w:cs="宋体"/>
                <w:b/>
                <w:bCs/>
                <w:kern w:val="0"/>
                <w:sz w:val="22"/>
                <w:szCs w:val="22"/>
              </w:rPr>
              <w:t>预估量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rPr>
              <w:t>预估金额</w:t>
            </w:r>
            <w:r>
              <w:rPr>
                <w:rFonts w:hint="eastAsia" w:ascii="宋体" w:hAnsi="宋体" w:eastAsia="宋体" w:cs="宋体"/>
                <w:b/>
                <w:bCs/>
                <w:kern w:val="0"/>
                <w:sz w:val="22"/>
                <w:szCs w:val="22"/>
                <w:lang w:eastAsia="zh-CN"/>
              </w:rPr>
              <w:t>（元）</w:t>
            </w:r>
          </w:p>
        </w:tc>
      </w:tr>
      <w:tr>
        <w:tblPrEx>
          <w:tblCellMar>
            <w:top w:w="0" w:type="dxa"/>
            <w:left w:w="108" w:type="dxa"/>
            <w:bottom w:w="0" w:type="dxa"/>
            <w:right w:w="108" w:type="dxa"/>
          </w:tblCellMar>
        </w:tblPrEx>
        <w:trPr>
          <w:trHeight w:val="6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户外背胶（海报）覆膜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幅</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2.4米x1.2米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110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400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44000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5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2</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平方米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1平方米以上的</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400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12000</w:t>
            </w:r>
          </w:p>
        </w:tc>
      </w:tr>
      <w:tr>
        <w:tblPrEx>
          <w:tblCellMar>
            <w:top w:w="0" w:type="dxa"/>
            <w:left w:w="108" w:type="dxa"/>
            <w:bottom w:w="0" w:type="dxa"/>
            <w:right w:w="108" w:type="dxa"/>
          </w:tblCellMar>
        </w:tblPrEx>
        <w:trPr>
          <w:trHeight w:val="6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3</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平方米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0.5平方米以下的</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22</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500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11000</w:t>
            </w:r>
          </w:p>
        </w:tc>
      </w:tr>
      <w:tr>
        <w:tblPrEx>
          <w:tblCellMar>
            <w:top w:w="0" w:type="dxa"/>
            <w:left w:w="108" w:type="dxa"/>
            <w:bottom w:w="0" w:type="dxa"/>
            <w:right w:w="108" w:type="dxa"/>
          </w:tblCellMar>
        </w:tblPrEx>
        <w:trPr>
          <w:trHeight w:val="11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A4桌牌（横或竖式）（单面，200克铜板纸单面）（不含外壳）</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6.5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300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1950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科室三角牌（单面，户外背胶覆膜）</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0.3米x0.1米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9</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20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180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门型架（不含画面）</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0.8米x1.8米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45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仿宋_GB2312" w:cs="宋体"/>
                <w:kern w:val="0"/>
                <w:sz w:val="22"/>
                <w:szCs w:val="22"/>
                <w:lang w:val="en-US" w:eastAsia="zh-CN"/>
              </w:rPr>
            </w:pPr>
            <w:r>
              <w:rPr>
                <w:rFonts w:hint="eastAsia" w:ascii="仿宋_GB2312" w:hAnsi="仿宋_GB2312" w:eastAsia="仿宋_GB2312" w:cs="仿宋_GB2312"/>
                <w:color w:val="000000"/>
                <w:kern w:val="0"/>
                <w:sz w:val="24"/>
                <w:lang w:val="en-US" w:eastAsia="zh-CN"/>
              </w:rPr>
              <w:t>200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9000</w:t>
            </w:r>
          </w:p>
        </w:tc>
      </w:tr>
      <w:tr>
        <w:tblPrEx>
          <w:tblCellMar>
            <w:top w:w="0" w:type="dxa"/>
            <w:left w:w="108" w:type="dxa"/>
            <w:bottom w:w="0" w:type="dxa"/>
            <w:right w:w="108" w:type="dxa"/>
          </w:tblCellMar>
        </w:tblPrEx>
        <w:trPr>
          <w:trHeight w:val="9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钛金水牌（不含画面）</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0.8米x0.6米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120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20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2400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4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A4桌牌（亚克力，横或竖式）（不含画面）</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18</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145</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2610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科室三角牌（金色或银色铝三角牌，不含画面）</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0.3米x0.1米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200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2000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户外写真覆膜裱足5厘米PV</w:t>
            </w:r>
            <w:r>
              <w:rPr>
                <w:rFonts w:hint="eastAsia" w:ascii="宋体" w:hAnsi="宋体" w:eastAsia="宋体" w:cs="宋体"/>
                <w:kern w:val="0"/>
                <w:sz w:val="22"/>
                <w:szCs w:val="22"/>
                <w:lang w:val="en-US" w:eastAsia="zh-CN"/>
              </w:rPr>
              <w:t>C</w:t>
            </w:r>
            <w:r>
              <w:rPr>
                <w:rFonts w:hint="eastAsia" w:ascii="宋体" w:hAnsi="宋体" w:eastAsia="宋体" w:cs="宋体"/>
                <w:kern w:val="0"/>
                <w:sz w:val="22"/>
                <w:szCs w:val="22"/>
              </w:rPr>
              <w:t>板（异形或方形）</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平方米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0.5平方米以上的</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75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100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7500</w:t>
            </w:r>
          </w:p>
        </w:tc>
      </w:tr>
      <w:tr>
        <w:tblPrEx>
          <w:tblCellMar>
            <w:top w:w="0" w:type="dxa"/>
            <w:left w:w="108" w:type="dxa"/>
            <w:bottom w:w="0" w:type="dxa"/>
            <w:right w:w="108" w:type="dxa"/>
          </w:tblCellMar>
        </w:tblPrEx>
        <w:trPr>
          <w:trHeight w:val="7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11</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0.5平方米以下的</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90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100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9000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高精喷绘布</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14</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200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2800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6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13</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kern w:val="0"/>
                <w:sz w:val="22"/>
                <w:szCs w:val="22"/>
              </w:rPr>
              <w:t>不含安装</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11</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200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2200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窗帘布喷印</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60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30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1800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可移除车贴（白/黑贴）+斜纹地板膜</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定制</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60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6000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荣誉（镭射打印木底牌）</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0.6米x0.4米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50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2500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荣誉牌（镭射喷印木底牌）</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0.5米x0.35米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40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2000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写真布标语（室内）</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0.7-0.9米宽度</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100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1500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42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丝印标语</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0.7-0.9米宽度</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100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1000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6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丝印袖标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20厘米x9厘米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5.5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100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550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7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绶带（平绒）</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15厘米x80厘米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20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400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50x50厘米不锈钢管焊接钢架，中间画面部分15毫米全结皮pvc做底板,不含画面</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2710厘米x2150厘米x800厘米（张贴画面的大小为1220厘米x2440厘米）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900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仿宋_GB2312" w:hAnsi="仿宋_GB2312" w:eastAsia="仿宋_GB2312" w:cs="仿宋_GB2312"/>
                <w:color w:val="000000"/>
                <w:kern w:val="0"/>
                <w:sz w:val="24"/>
                <w:lang w:val="en-US" w:eastAsia="zh-CN"/>
              </w:rPr>
              <w:t>10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9000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23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门诊牌插卡（高清海报纸+覆膜+塑封)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30厘米x20厘米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仿宋_GB2312" w:hAnsi="仿宋_GB2312" w:eastAsia="仿宋_GB2312" w:cs="仿宋_GB2312"/>
                <w:color w:val="000000"/>
                <w:kern w:val="0"/>
                <w:sz w:val="24"/>
              </w:rPr>
              <w:t>300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3000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200克铜版纸打印加强磁台签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套</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21厘米 x 29.5厘米高</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39</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975</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25</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1厘米pvc喷印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平方米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0.5平方米以上的</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120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600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26</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0.5平方米以下的</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140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7000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1厘米pvc+2厘米pvc喷印</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0.5平方米以上的</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230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11500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2厘米pvc喷印雕刻字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厘米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310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465</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5厘米pvc喷印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平方米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70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3500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背胶裱5厘米pvc开启式边框</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0.5米 x 0.7米高</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76</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3800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不锈钢弧面吊牌</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2.4米 x 0.4米高</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280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1400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反光膜裱5厘米pvc</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70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3500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激光标语+穿杆+绳子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0.7-0.9米宽度</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11</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550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5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铝型材丝印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平方米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850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42500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6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旗帜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幅</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1.44米 x 0.96米高</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600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64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36</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亚克力盒子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10厘米 x 14厘米高</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73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37</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22厘米 x 30厘米高</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300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6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38</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10厘米 x 4厘米高</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4</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80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钛金牌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块</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60厘米 x 40厘米高</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110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1100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扇子（5000把）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把</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17厘米 x 18厘米高（0.6丝）</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0.4</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2000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不干胶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厘米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A3</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13</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1300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灯箱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平方米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卡布</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220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11000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43</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立牌租赁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个/天</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含画面</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2000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44</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车贴+乳白色亚克力热弯三角形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33厘米 x 30厘米</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40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1600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51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45</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背胶裱KT板</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平方米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3000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46</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车贴</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300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5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47</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标签盒侧签</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A4（250克铜版纸打印,按A4纸计算，一张A4纸打印12小张左右，小标签尺寸为2-5厘米大小）12小张起做。</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9</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2700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3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48</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标签</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A4（按A4纸计算）（高精度户外写真,按A4纸计算，一张A4纸打印12小张左右，小标签尺寸为2-5厘米大小）12小张起做。</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3000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不干胶标示贴</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A4（按A4纸计算）</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13</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3900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3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工作牌(壳子)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按70x25厘米/个计算，外壳为铝材</w:t>
            </w:r>
            <w:r>
              <w:rPr>
                <w:rFonts w:ascii="Times New Roman" w:hAnsi="Times New Roman" w:eastAsia="宋体" w:cs="Times New Roman"/>
                <w:kern w:val="0"/>
                <w:sz w:val="22"/>
                <w:szCs w:val="22"/>
              </w:rPr>
              <w:t>+</w:t>
            </w:r>
            <w:r>
              <w:rPr>
                <w:rFonts w:hint="eastAsia" w:ascii="宋体" w:hAnsi="宋体" w:eastAsia="宋体" w:cs="宋体"/>
                <w:kern w:val="0"/>
                <w:sz w:val="22"/>
                <w:szCs w:val="22"/>
              </w:rPr>
              <w:t>透明亚克力，</w:t>
            </w:r>
            <w:r>
              <w:rPr>
                <w:rFonts w:ascii="Times New Roman" w:hAnsi="Times New Roman" w:eastAsia="宋体" w:cs="Times New Roman"/>
                <w:kern w:val="0"/>
                <w:sz w:val="22"/>
                <w:szCs w:val="22"/>
              </w:rPr>
              <w:t>70</w:t>
            </w:r>
            <w:r>
              <w:rPr>
                <w:rFonts w:hint="eastAsia" w:ascii="Times New Roman" w:hAnsi="Times New Roman" w:eastAsia="宋体" w:cs="Times New Roman"/>
                <w:kern w:val="0"/>
                <w:sz w:val="22"/>
                <w:szCs w:val="22"/>
              </w:rPr>
              <w:t>x</w:t>
            </w:r>
            <w:r>
              <w:rPr>
                <w:rFonts w:ascii="Times New Roman" w:hAnsi="Times New Roman" w:eastAsia="宋体" w:cs="Times New Roman"/>
                <w:kern w:val="0"/>
                <w:sz w:val="22"/>
                <w:szCs w:val="22"/>
              </w:rPr>
              <w:t>25</w:t>
            </w:r>
            <w:r>
              <w:rPr>
                <w:rFonts w:hint="eastAsia" w:ascii="宋体" w:hAnsi="宋体" w:eastAsia="宋体" w:cs="宋体"/>
                <w:kern w:val="0"/>
                <w:sz w:val="22"/>
                <w:szCs w:val="22"/>
              </w:rPr>
              <w:t>厘米（一次</w:t>
            </w:r>
            <w:r>
              <w:rPr>
                <w:rFonts w:ascii="Times New Roman" w:hAnsi="Times New Roman" w:eastAsia="宋体" w:cs="Times New Roman"/>
                <w:kern w:val="0"/>
                <w:sz w:val="22"/>
                <w:szCs w:val="22"/>
              </w:rPr>
              <w:t>200</w:t>
            </w:r>
            <w:r>
              <w:rPr>
                <w:rFonts w:hint="eastAsia" w:ascii="宋体" w:hAnsi="宋体" w:eastAsia="宋体" w:cs="宋体"/>
                <w:kern w:val="0"/>
                <w:sz w:val="22"/>
                <w:szCs w:val="22"/>
              </w:rPr>
              <w:t>个）</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2.4</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1440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4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工作牌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A4（按A4纸计算），70x25厘米（一张A4纸打印30-40张左右胸牌内页，为300克铜版纸打印）</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900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52</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工作牌(吊牌）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套</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80x125厘米（透明塑胶卡套+吊绳+内页250克铜版纸）</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6</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1200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53</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名片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按1盒计算，90x54厘米，</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300克铜版纸覆膜（每盒100张（≥10盒）</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5000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54</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按1盒计算，90x54厘米，</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300克铜版纸覆膜（每盒100张（＜10盒）</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11</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ascii="宋体" w:hAnsi="宋体" w:eastAsia="宋体" w:cs="宋体"/>
                <w:kern w:val="0"/>
                <w:sz w:val="22"/>
                <w:szCs w:val="22"/>
                <w:lang w:val="en-US" w:eastAsia="zh-CN"/>
              </w:rPr>
              <w:t>5500</w:t>
            </w:r>
          </w:p>
        </w:tc>
      </w:tr>
      <w:tr>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55</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按1盒计算，90x54厘米，</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快印300克铜版纸（每盒100张）</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500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7500</w:t>
            </w:r>
          </w:p>
        </w:tc>
      </w:tr>
      <w:tr>
        <w:tblPrEx>
          <w:tblCellMar>
            <w:top w:w="0" w:type="dxa"/>
            <w:left w:w="108" w:type="dxa"/>
            <w:bottom w:w="0" w:type="dxa"/>
            <w:right w:w="108" w:type="dxa"/>
          </w:tblCellMar>
        </w:tblPrEx>
        <w:trPr>
          <w:trHeight w:val="8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56</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彩色宣传单</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A4（按A4纸计算）</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157g铜板纸双面彩印（500张/次）</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0.25</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10000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2500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896"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57</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A5（按A5纸计算）</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157g铜板纸双面彩印（500张/次）</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0.26</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10000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2600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13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58</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A4（按A4纸计算）</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157g铜板纸双面彩印，三折页压痕折成品（500张/次）</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0.27</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10000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jc w:val="center"/>
            </w:pPr>
            <w:r>
              <w:rPr>
                <w:rFonts w:ascii="宋体" w:hAnsi="宋体" w:eastAsia="宋体" w:cs="宋体"/>
                <w:kern w:val="0"/>
                <w:sz w:val="22"/>
                <w:szCs w:val="22"/>
              </w:rPr>
              <w:fldChar w:fldCharType="begin"/>
            </w:r>
            <w:r>
              <w:rPr>
                <w:rFonts w:ascii="宋体" w:hAnsi="宋体" w:eastAsia="宋体" w:cs="宋体"/>
                <w:kern w:val="0"/>
                <w:sz w:val="22"/>
                <w:szCs w:val="22"/>
              </w:rPr>
              <w:instrText xml:space="preserve"> =product(LEFT) </w:instrText>
            </w:r>
            <w:r>
              <w:rPr>
                <w:rFonts w:ascii="宋体" w:hAnsi="宋体" w:eastAsia="宋体" w:cs="宋体"/>
                <w:kern w:val="0"/>
                <w:sz w:val="22"/>
                <w:szCs w:val="22"/>
              </w:rPr>
              <w:fldChar w:fldCharType="separate"/>
            </w:r>
            <w:r>
              <w:rPr>
                <w:rFonts w:ascii="宋体" w:hAnsi="宋体" w:eastAsia="宋体" w:cs="宋体"/>
                <w:kern w:val="0"/>
                <w:sz w:val="22"/>
                <w:szCs w:val="22"/>
              </w:rPr>
              <w:t>2700</w:t>
            </w:r>
            <w:r>
              <w:rPr>
                <w:rFonts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59</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纸袋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个</w:t>
            </w:r>
          </w:p>
        </w:tc>
        <w:tc>
          <w:tcPr>
            <w:tcW w:w="313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380x290x100厘米（按1个计算）（300克白卡纸），要覆膜</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（2000个/次）</w:t>
            </w:r>
          </w:p>
        </w:tc>
        <w:tc>
          <w:tcPr>
            <w:tcW w:w="10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1.3</w:t>
            </w:r>
          </w:p>
        </w:tc>
        <w:tc>
          <w:tcPr>
            <w:tcW w:w="87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5000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6500</w:t>
            </w:r>
          </w:p>
        </w:tc>
      </w:tr>
      <w:tr>
        <w:tblPrEx>
          <w:tblCellMar>
            <w:top w:w="0" w:type="dxa"/>
            <w:left w:w="108" w:type="dxa"/>
            <w:bottom w:w="0" w:type="dxa"/>
            <w:right w:w="108" w:type="dxa"/>
          </w:tblCellMar>
        </w:tblPrEx>
        <w:trPr>
          <w:trHeight w:val="283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60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安装收费</w:t>
            </w:r>
          </w:p>
        </w:tc>
        <w:tc>
          <w:tcPr>
            <w:tcW w:w="5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1.上述单价含4米以下安装费；4米以上加收高空安装费6元/平方米；特殊位置（如无法固定架子或存安全隐患及5米以上，均使用租赁云梯车）；吊车费4个小时内300元/小时（超过4个小时按照200元/时收取）；节假日照正常收费。灯箱字类需要布置电线或其他辅料，不另行收费。</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2.上述费用包括税费、设计费、加班费、样品费等相关费用。</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3.如遇特殊设计另行收费。  </w:t>
            </w:r>
          </w:p>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w:t>
            </w:r>
          </w:p>
        </w:tc>
      </w:tr>
    </w:tbl>
    <w:p>
      <w:pPr>
        <w:jc w:val="left"/>
        <w:rPr>
          <w:rFonts w:hint="eastAsia" w:ascii="黑体" w:hAnsi="黑体" w:eastAsia="黑体" w:cs="黑体"/>
          <w:b w:val="0"/>
          <w:bCs w:val="0"/>
          <w:i w:val="0"/>
          <w:color w:val="auto"/>
          <w:kern w:val="0"/>
          <w:sz w:val="28"/>
          <w:szCs w:val="28"/>
          <w:u w:val="none"/>
          <w:lang w:val="en-US" w:eastAsia="zh-CN" w:bidi="ar"/>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left"/>
        <w:rPr>
          <w:rFonts w:hint="eastAsia" w:ascii="黑体" w:hAnsi="黑体" w:eastAsia="黑体" w:cs="黑体"/>
          <w:b w:val="0"/>
          <w:bCs w:val="0"/>
          <w:i w:val="0"/>
          <w:color w:val="auto"/>
          <w:kern w:val="0"/>
          <w:sz w:val="28"/>
          <w:szCs w:val="28"/>
          <w:u w:val="none"/>
          <w:lang w:val="en-US" w:eastAsia="zh-CN" w:bidi="ar"/>
        </w:rPr>
      </w:pPr>
    </w:p>
    <w:p>
      <w:pPr>
        <w:jc w:val="left"/>
        <w:rPr>
          <w:rFonts w:hint="eastAsia" w:ascii="黑体" w:hAnsi="黑体" w:eastAsia="黑体" w:cs="黑体"/>
          <w:b w:val="0"/>
          <w:bCs w:val="0"/>
          <w:i w:val="0"/>
          <w:color w:val="auto"/>
          <w:kern w:val="0"/>
          <w:sz w:val="28"/>
          <w:szCs w:val="28"/>
          <w:u w:val="none"/>
          <w:lang w:val="en-US" w:eastAsia="zh-CN" w:bidi="ar"/>
        </w:rPr>
      </w:pPr>
    </w:p>
    <w:p>
      <w:pPr>
        <w:jc w:val="left"/>
        <w:rPr>
          <w:rFonts w:hint="eastAsia" w:ascii="黑体" w:hAnsi="黑体" w:eastAsia="黑体" w:cs="黑体"/>
          <w:b w:val="0"/>
          <w:bCs w:val="0"/>
          <w:i w:val="0"/>
          <w:color w:val="auto"/>
          <w:kern w:val="0"/>
          <w:sz w:val="28"/>
          <w:szCs w:val="28"/>
          <w:u w:val="none"/>
          <w:lang w:val="en-US" w:eastAsia="zh-CN" w:bidi="ar"/>
        </w:rPr>
      </w:pPr>
    </w:p>
    <w:p>
      <w:pPr>
        <w:jc w:val="left"/>
        <w:rPr>
          <w:rFonts w:hint="eastAsia" w:ascii="黑体" w:hAnsi="黑体" w:eastAsia="黑体" w:cs="黑体"/>
          <w:b w:val="0"/>
          <w:bCs w:val="0"/>
          <w:i w:val="0"/>
          <w:color w:val="auto"/>
          <w:kern w:val="0"/>
          <w:sz w:val="28"/>
          <w:szCs w:val="28"/>
          <w:u w:val="none"/>
          <w:lang w:val="en-US" w:eastAsia="zh-CN" w:bidi="ar"/>
        </w:rPr>
      </w:pPr>
    </w:p>
    <w:p>
      <w:pPr>
        <w:jc w:val="left"/>
        <w:rPr>
          <w:rFonts w:hint="eastAsia" w:ascii="仿宋" w:hAnsi="仿宋" w:eastAsia="仿宋"/>
          <w:b w:val="0"/>
          <w:bCs w:val="0"/>
          <w:color w:val="auto"/>
          <w:spacing w:val="7"/>
          <w:sz w:val="28"/>
          <w:szCs w:val="28"/>
        </w:rPr>
      </w:pPr>
      <w:r>
        <w:rPr>
          <w:rFonts w:hint="eastAsia" w:ascii="黑体" w:hAnsi="黑体" w:eastAsia="黑体" w:cs="黑体"/>
          <w:b w:val="0"/>
          <w:bCs w:val="0"/>
          <w:i w:val="0"/>
          <w:color w:val="auto"/>
          <w:kern w:val="0"/>
          <w:sz w:val="28"/>
          <w:szCs w:val="28"/>
          <w:u w:val="none"/>
          <w:lang w:val="en-US" w:eastAsia="zh-CN" w:bidi="ar"/>
        </w:rPr>
        <w:t>附件3：</w:t>
      </w:r>
    </w:p>
    <w:p>
      <w:pPr>
        <w:widowControl/>
        <w:shd w:val="clear" w:color="000000" w:fill="FFFFFF"/>
        <w:snapToGrid w:val="0"/>
        <w:spacing w:line="436" w:lineRule="exact"/>
        <w:jc w:val="center"/>
        <w:rPr>
          <w:rFonts w:ascii="仿宋" w:hAnsi="仿宋" w:eastAsia="仿宋"/>
          <w:b w:val="0"/>
          <w:bCs w:val="0"/>
          <w:color w:val="auto"/>
          <w:spacing w:val="7"/>
          <w:sz w:val="36"/>
          <w:szCs w:val="36"/>
        </w:rPr>
      </w:pPr>
      <w:r>
        <w:rPr>
          <w:rFonts w:hint="eastAsia" w:ascii="仿宋" w:hAnsi="仿宋" w:eastAsia="仿宋"/>
          <w:b w:val="0"/>
          <w:bCs w:val="0"/>
          <w:color w:val="auto"/>
          <w:spacing w:val="7"/>
          <w:sz w:val="36"/>
          <w:szCs w:val="36"/>
        </w:rPr>
        <w:t>评分细则</w:t>
      </w:r>
    </w:p>
    <w:tbl>
      <w:tblPr>
        <w:tblStyle w:val="14"/>
        <w:tblW w:w="9566"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0"/>
        <w:gridCol w:w="1260"/>
        <w:gridCol w:w="840"/>
        <w:gridCol w:w="5970"/>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600" w:type="dxa"/>
            <w:noWrap/>
            <w:vAlign w:val="center"/>
          </w:tcPr>
          <w:p>
            <w:pPr>
              <w:jc w:val="center"/>
              <w:rPr>
                <w:rFonts w:ascii="Times New Roman" w:hAnsi="Times New Roman"/>
                <w:b w:val="0"/>
                <w:bCs w:val="0"/>
                <w:color w:val="auto"/>
              </w:rPr>
            </w:pPr>
            <w:r>
              <w:rPr>
                <w:rFonts w:hint="eastAsia" w:ascii="Times New Roman" w:hAnsi="Times New Roman"/>
                <w:b w:val="0"/>
                <w:bCs w:val="0"/>
                <w:color w:val="auto"/>
              </w:rPr>
              <w:t>序号</w:t>
            </w:r>
          </w:p>
        </w:tc>
        <w:tc>
          <w:tcPr>
            <w:tcW w:w="1260" w:type="dxa"/>
            <w:noWrap/>
            <w:vAlign w:val="center"/>
          </w:tcPr>
          <w:p>
            <w:pPr>
              <w:jc w:val="center"/>
              <w:rPr>
                <w:rFonts w:ascii="Times New Roman" w:hAnsi="Times New Roman"/>
                <w:b w:val="0"/>
                <w:bCs w:val="0"/>
                <w:color w:val="auto"/>
              </w:rPr>
            </w:pPr>
            <w:r>
              <w:rPr>
                <w:rFonts w:hint="eastAsia" w:ascii="Times New Roman" w:hAnsi="Times New Roman"/>
                <w:b w:val="0"/>
                <w:bCs w:val="0"/>
                <w:color w:val="auto"/>
              </w:rPr>
              <w:t>评分因素及权重</w:t>
            </w:r>
          </w:p>
        </w:tc>
        <w:tc>
          <w:tcPr>
            <w:tcW w:w="840" w:type="dxa"/>
            <w:noWrap/>
            <w:vAlign w:val="center"/>
          </w:tcPr>
          <w:p>
            <w:pPr>
              <w:jc w:val="center"/>
              <w:rPr>
                <w:rFonts w:ascii="Times New Roman" w:hAnsi="Times New Roman"/>
                <w:b w:val="0"/>
                <w:bCs w:val="0"/>
                <w:color w:val="auto"/>
              </w:rPr>
            </w:pPr>
            <w:r>
              <w:rPr>
                <w:rFonts w:hint="eastAsia" w:ascii="Times New Roman" w:hAnsi="Times New Roman"/>
                <w:b w:val="0"/>
                <w:bCs w:val="0"/>
                <w:color w:val="auto"/>
              </w:rPr>
              <w:t>分值</w:t>
            </w:r>
          </w:p>
        </w:tc>
        <w:tc>
          <w:tcPr>
            <w:tcW w:w="5970" w:type="dxa"/>
            <w:noWrap/>
            <w:vAlign w:val="center"/>
          </w:tcPr>
          <w:p>
            <w:pPr>
              <w:jc w:val="center"/>
              <w:rPr>
                <w:rFonts w:ascii="Times New Roman" w:hAnsi="Times New Roman"/>
                <w:b w:val="0"/>
                <w:bCs w:val="0"/>
                <w:color w:val="auto"/>
              </w:rPr>
            </w:pPr>
            <w:r>
              <w:rPr>
                <w:rFonts w:hint="eastAsia" w:ascii="Times New Roman" w:hAnsi="Times New Roman"/>
                <w:b w:val="0"/>
                <w:bCs w:val="0"/>
                <w:color w:val="auto"/>
              </w:rPr>
              <w:t>评 分 标 准</w:t>
            </w:r>
          </w:p>
        </w:tc>
        <w:tc>
          <w:tcPr>
            <w:tcW w:w="896" w:type="dxa"/>
            <w:noWrap/>
            <w:vAlign w:val="center"/>
          </w:tcPr>
          <w:p>
            <w:pPr>
              <w:jc w:val="center"/>
              <w:rPr>
                <w:rFonts w:ascii="Times New Roman" w:hAnsi="Times New Roman"/>
                <w:b w:val="0"/>
                <w:bCs w:val="0"/>
                <w:color w:val="auto"/>
              </w:rPr>
            </w:pPr>
            <w:r>
              <w:rPr>
                <w:rFonts w:hint="eastAsia" w:ascii="Times New Roman" w:hAnsi="Times New Roman"/>
                <w:b w:val="0"/>
                <w:bCs w:val="0"/>
                <w:color w:val="auto"/>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600" w:type="dxa"/>
            <w:noWrap/>
            <w:vAlign w:val="center"/>
          </w:tcPr>
          <w:p>
            <w:pPr>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1</w:t>
            </w:r>
          </w:p>
        </w:tc>
        <w:tc>
          <w:tcPr>
            <w:tcW w:w="1260" w:type="dxa"/>
            <w:noWrap/>
            <w:vAlign w:val="center"/>
          </w:tcPr>
          <w:p>
            <w:pPr>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报价30%</w:t>
            </w:r>
          </w:p>
        </w:tc>
        <w:tc>
          <w:tcPr>
            <w:tcW w:w="840" w:type="dxa"/>
            <w:noWrap/>
            <w:vAlign w:val="center"/>
          </w:tcPr>
          <w:p>
            <w:pPr>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30分</w:t>
            </w:r>
          </w:p>
        </w:tc>
        <w:tc>
          <w:tcPr>
            <w:tcW w:w="5970" w:type="dxa"/>
            <w:noWrap/>
            <w:vAlign w:val="center"/>
          </w:tcPr>
          <w:p>
            <w:pPr>
              <w:widowControl/>
              <w:textAlignment w:val="center"/>
              <w:rPr>
                <w:rFonts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rPr>
              <w:t xml:space="preserve">    以本次经评审的有效的最低最后</w:t>
            </w:r>
            <w:r>
              <w:rPr>
                <w:rFonts w:hint="eastAsia" w:ascii="仿宋_GB2312" w:hAnsi="仿宋_GB2312" w:eastAsia="仿宋_GB2312" w:cs="仿宋_GB2312"/>
                <w:b w:val="0"/>
                <w:bCs w:val="0"/>
                <w:color w:val="auto"/>
                <w:kern w:val="0"/>
                <w:sz w:val="24"/>
                <w:lang w:eastAsia="zh-CN"/>
              </w:rPr>
              <w:t>单价</w:t>
            </w:r>
            <w:r>
              <w:rPr>
                <w:rFonts w:hint="eastAsia" w:ascii="仿宋_GB2312" w:hAnsi="仿宋_GB2312" w:eastAsia="仿宋_GB2312" w:cs="仿宋_GB2312"/>
                <w:b w:val="0"/>
                <w:bCs w:val="0"/>
                <w:color w:val="auto"/>
                <w:kern w:val="0"/>
                <w:sz w:val="24"/>
              </w:rPr>
              <w:t>报价为基准价，磋商报价得分=（磋商基准价/最后磋商报价）×3</w:t>
            </w:r>
            <w:r>
              <w:rPr>
                <w:rFonts w:hint="eastAsia" w:ascii="仿宋_GB2312" w:hAnsi="仿宋_GB2312" w:eastAsia="仿宋_GB2312" w:cs="仿宋_GB2312"/>
                <w:b w:val="0"/>
                <w:bCs w:val="0"/>
                <w:color w:val="auto"/>
                <w:kern w:val="0"/>
                <w:sz w:val="24"/>
                <w:lang w:val="en-US" w:eastAsia="zh-CN"/>
              </w:rPr>
              <w:t>0</w:t>
            </w:r>
            <w:r>
              <w:rPr>
                <w:rFonts w:hint="eastAsia" w:ascii="仿宋_GB2312" w:hAnsi="仿宋_GB2312" w:eastAsia="仿宋_GB2312" w:cs="仿宋_GB2312"/>
                <w:b w:val="0"/>
                <w:bCs w:val="0"/>
                <w:color w:val="auto"/>
                <w:kern w:val="0"/>
                <w:sz w:val="24"/>
              </w:rPr>
              <w:t>×100%。</w:t>
            </w:r>
            <w:r>
              <w:rPr>
                <w:rFonts w:hint="eastAsia" w:ascii="仿宋_GB2312" w:hAnsi="仿宋_GB2312" w:eastAsia="仿宋_GB2312" w:cs="仿宋_GB2312"/>
                <w:b w:val="0"/>
                <w:bCs w:val="0"/>
                <w:color w:val="auto"/>
                <w:kern w:val="0"/>
                <w:sz w:val="24"/>
                <w:lang w:eastAsia="zh-CN"/>
              </w:rPr>
              <w:t>（需统一下浮百分比）</w:t>
            </w:r>
          </w:p>
        </w:tc>
        <w:tc>
          <w:tcPr>
            <w:tcW w:w="896" w:type="dxa"/>
            <w:noWrap/>
            <w:vAlign w:val="center"/>
          </w:tcPr>
          <w:p>
            <w:pPr>
              <w:rPr>
                <w:rFonts w:ascii="Times New Roman" w:hAnsi="Times New Roman"/>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600" w:type="dxa"/>
            <w:noWrap/>
            <w:vAlign w:val="center"/>
          </w:tcPr>
          <w:p>
            <w:pPr>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2</w:t>
            </w:r>
          </w:p>
        </w:tc>
        <w:tc>
          <w:tcPr>
            <w:tcW w:w="1260" w:type="dxa"/>
            <w:noWrap/>
            <w:vAlign w:val="center"/>
          </w:tcPr>
          <w:p>
            <w:pPr>
              <w:widowControl/>
              <w:jc w:val="center"/>
              <w:textAlignment w:val="center"/>
              <w:rPr>
                <w:rFonts w:hint="eastAsia"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rPr>
              <w:t>技术服务及商务要求20%</w:t>
            </w:r>
          </w:p>
        </w:tc>
        <w:tc>
          <w:tcPr>
            <w:tcW w:w="840" w:type="dxa"/>
            <w:noWrap/>
            <w:vAlign w:val="center"/>
          </w:tcPr>
          <w:p>
            <w:pPr>
              <w:widowControl/>
              <w:jc w:val="center"/>
              <w:textAlignment w:val="center"/>
              <w:rPr>
                <w:rFonts w:hint="eastAsia"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rPr>
              <w:t>20分</w:t>
            </w:r>
          </w:p>
        </w:tc>
        <w:tc>
          <w:tcPr>
            <w:tcW w:w="5970" w:type="dxa"/>
            <w:noWrap/>
            <w:vAlign w:val="center"/>
          </w:tcPr>
          <w:p>
            <w:pPr>
              <w:widowControl/>
              <w:jc w:val="left"/>
              <w:textAlignment w:val="center"/>
              <w:rPr>
                <w:rFonts w:hint="eastAsia"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rPr>
              <w:t>供应商的技术服务、商务要求完全响应磋商文件的得20分，有一项未响应的扣2分，扣完为止。</w:t>
            </w:r>
          </w:p>
        </w:tc>
        <w:tc>
          <w:tcPr>
            <w:tcW w:w="896" w:type="dxa"/>
            <w:noWrap/>
            <w:vAlign w:val="center"/>
          </w:tcPr>
          <w:p>
            <w:pPr>
              <w:rPr>
                <w:rFonts w:ascii="Times New Roman" w:hAnsi="Times New Roman"/>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00" w:type="dxa"/>
            <w:noWrap/>
            <w:vAlign w:val="center"/>
          </w:tcPr>
          <w:p>
            <w:pPr>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3</w:t>
            </w:r>
          </w:p>
        </w:tc>
        <w:tc>
          <w:tcPr>
            <w:tcW w:w="1260" w:type="dxa"/>
            <w:noWrap/>
            <w:vAlign w:val="center"/>
          </w:tcPr>
          <w:p>
            <w:pPr>
              <w:widowControl/>
              <w:jc w:val="center"/>
              <w:textAlignment w:val="center"/>
              <w:rPr>
                <w:rFonts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rPr>
              <w:t>项目实施方案</w:t>
            </w:r>
            <w:r>
              <w:rPr>
                <w:rFonts w:hint="eastAsia" w:ascii="仿宋_GB2312" w:hAnsi="仿宋_GB2312" w:eastAsia="仿宋_GB2312" w:cs="仿宋_GB2312"/>
                <w:b w:val="0"/>
                <w:bCs w:val="0"/>
                <w:color w:val="auto"/>
                <w:kern w:val="0"/>
                <w:sz w:val="24"/>
                <w:lang w:val="en-US" w:eastAsia="zh-CN"/>
              </w:rPr>
              <w:t>15</w:t>
            </w:r>
            <w:r>
              <w:rPr>
                <w:rFonts w:hint="eastAsia" w:ascii="仿宋_GB2312" w:hAnsi="仿宋_GB2312" w:eastAsia="仿宋_GB2312" w:cs="仿宋_GB2312"/>
                <w:b w:val="0"/>
                <w:bCs w:val="0"/>
                <w:color w:val="auto"/>
                <w:kern w:val="0"/>
                <w:sz w:val="24"/>
              </w:rPr>
              <w:t>%</w:t>
            </w:r>
          </w:p>
          <w:p>
            <w:pPr>
              <w:jc w:val="center"/>
              <w:rPr>
                <w:rFonts w:ascii="仿宋_GB2312" w:hAnsi="仿宋_GB2312" w:eastAsia="仿宋_GB2312" w:cs="仿宋_GB2312"/>
                <w:b w:val="0"/>
                <w:bCs w:val="0"/>
                <w:color w:val="auto"/>
              </w:rPr>
            </w:pPr>
          </w:p>
        </w:tc>
        <w:tc>
          <w:tcPr>
            <w:tcW w:w="840" w:type="dxa"/>
            <w:noWrap/>
            <w:vAlign w:val="center"/>
          </w:tcPr>
          <w:p>
            <w:pPr>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val="en-US" w:eastAsia="zh-CN"/>
              </w:rPr>
              <w:t>15</w:t>
            </w:r>
            <w:r>
              <w:rPr>
                <w:rFonts w:hint="eastAsia" w:ascii="仿宋_GB2312" w:hAnsi="仿宋_GB2312" w:eastAsia="仿宋_GB2312" w:cs="仿宋_GB2312"/>
                <w:b w:val="0"/>
                <w:bCs w:val="0"/>
                <w:color w:val="auto"/>
              </w:rPr>
              <w:t>分</w:t>
            </w:r>
          </w:p>
        </w:tc>
        <w:tc>
          <w:tcPr>
            <w:tcW w:w="5970" w:type="dxa"/>
            <w:noWrap/>
            <w:vAlign w:val="center"/>
          </w:tcPr>
          <w:p>
            <w:pPr>
              <w:widowControl/>
              <w:textAlignment w:val="center"/>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24"/>
                <w:szCs w:val="24"/>
              </w:rPr>
              <w:t>根据供应商针对本项目提供的项目实施方案（包括服务方案、工作进度安排、实施措施、人员投入等）进行综合评分：服务方案合理、可操作性强，工作进度安排周密、实施措施有力，人员投入科学合理的得</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分；服务方案较合理、可操作性较强，工作进度安排较详细、实施措施较有力，人员投入较合理的得</w:t>
            </w:r>
            <w:r>
              <w:rPr>
                <w:rFonts w:hint="eastAsia" w:ascii="仿宋_GB2312" w:hAnsi="仿宋_GB2312" w:eastAsia="仿宋_GB2312" w:cs="仿宋_GB2312"/>
                <w:b w:val="0"/>
                <w:bCs w:val="0"/>
                <w:color w:val="auto"/>
                <w:sz w:val="24"/>
                <w:szCs w:val="24"/>
                <w:lang w:val="en-US" w:eastAsia="zh-CN"/>
              </w:rPr>
              <w:t>8</w:t>
            </w:r>
            <w:r>
              <w:rPr>
                <w:rFonts w:hint="eastAsia" w:ascii="仿宋_GB2312" w:hAnsi="仿宋_GB2312" w:eastAsia="仿宋_GB2312" w:cs="仿宋_GB2312"/>
                <w:b w:val="0"/>
                <w:bCs w:val="0"/>
                <w:color w:val="auto"/>
                <w:sz w:val="24"/>
                <w:szCs w:val="24"/>
              </w:rPr>
              <w:t>分；服务方案一般、可操作性不强，工作进度安排一般、实施措施一般，人员投入不合理的得</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分；未提供的不得分。</w:t>
            </w:r>
          </w:p>
        </w:tc>
        <w:tc>
          <w:tcPr>
            <w:tcW w:w="896" w:type="dxa"/>
            <w:noWrap/>
            <w:vAlign w:val="center"/>
          </w:tcPr>
          <w:p>
            <w:pPr>
              <w:rPr>
                <w:rFonts w:ascii="Times New Roman" w:hAnsi="Times New Roman"/>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trPr>
        <w:tc>
          <w:tcPr>
            <w:tcW w:w="600" w:type="dxa"/>
            <w:noWrap/>
            <w:vAlign w:val="center"/>
          </w:tcPr>
          <w:p>
            <w:pPr>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w:t>
            </w:r>
          </w:p>
        </w:tc>
        <w:tc>
          <w:tcPr>
            <w:tcW w:w="1260" w:type="dxa"/>
            <w:noWrap/>
            <w:vAlign w:val="center"/>
          </w:tcPr>
          <w:p>
            <w:pPr>
              <w:jc w:val="center"/>
              <w:rPr>
                <w:rFonts w:hint="default" w:ascii="仿宋_GB2312" w:hAnsi="仿宋_GB2312" w:eastAsia="仿宋_GB2312" w:cs="仿宋_GB2312"/>
                <w:b w:val="0"/>
                <w:bCs w:val="0"/>
                <w:color w:val="auto"/>
                <w:kern w:val="0"/>
                <w:sz w:val="24"/>
                <w:lang w:val="en-US" w:eastAsia="zh-CN"/>
              </w:rPr>
            </w:pPr>
            <w:r>
              <w:rPr>
                <w:rFonts w:hint="eastAsia" w:ascii="仿宋_GB2312" w:hAnsi="仿宋_GB2312" w:eastAsia="仿宋_GB2312" w:cs="仿宋_GB2312"/>
                <w:b w:val="0"/>
                <w:bCs w:val="0"/>
                <w:color w:val="auto"/>
                <w:kern w:val="0"/>
                <w:sz w:val="24"/>
                <w:lang w:eastAsia="zh-CN"/>
              </w:rPr>
              <w:t>服务风险防控措施</w:t>
            </w:r>
            <w:r>
              <w:rPr>
                <w:rFonts w:hint="eastAsia" w:ascii="仿宋_GB2312" w:hAnsi="仿宋_GB2312" w:eastAsia="仿宋_GB2312" w:cs="仿宋_GB2312"/>
                <w:b w:val="0"/>
                <w:bCs w:val="0"/>
                <w:color w:val="auto"/>
                <w:kern w:val="0"/>
                <w:sz w:val="24"/>
                <w:lang w:val="en-US" w:eastAsia="zh-CN"/>
              </w:rPr>
              <w:t>8%</w:t>
            </w:r>
          </w:p>
          <w:p>
            <w:pPr>
              <w:jc w:val="center"/>
              <w:rPr>
                <w:rFonts w:hint="eastAsia" w:ascii="仿宋_GB2312" w:hAnsi="仿宋_GB2312" w:eastAsia="仿宋_GB2312" w:cs="仿宋_GB2312"/>
                <w:b w:val="0"/>
                <w:bCs w:val="0"/>
                <w:color w:val="auto"/>
                <w:kern w:val="0"/>
                <w:sz w:val="24"/>
              </w:rPr>
            </w:pPr>
          </w:p>
        </w:tc>
        <w:tc>
          <w:tcPr>
            <w:tcW w:w="840" w:type="dxa"/>
            <w:noWrap/>
            <w:vAlign w:val="center"/>
          </w:tcPr>
          <w:p>
            <w:pPr>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8</w:t>
            </w:r>
          </w:p>
        </w:tc>
        <w:tc>
          <w:tcPr>
            <w:tcW w:w="5970" w:type="dxa"/>
            <w:noWrap/>
            <w:vAlign w:val="center"/>
          </w:tcPr>
          <w:p>
            <w:pPr>
              <w:rPr>
                <w:rFonts w:hint="eastAsia" w:ascii="仿宋_GB2312" w:hAnsi="仿宋_GB2312" w:eastAsia="仿宋_GB2312" w:cs="仿宋_GB2312"/>
                <w:b w:val="0"/>
                <w:bCs w:val="0"/>
                <w:color w:val="auto"/>
                <w:kern w:val="0"/>
                <w:sz w:val="24"/>
              </w:rPr>
            </w:pPr>
            <w:r>
              <w:rPr>
                <w:rFonts w:hint="default" w:ascii="仿宋_GB2312" w:hAnsi="仿宋_GB2312" w:eastAsia="仿宋_GB2312" w:cs="仿宋_GB2312"/>
                <w:b w:val="0"/>
                <w:bCs w:val="0"/>
                <w:color w:val="auto"/>
                <w:kern w:val="0"/>
                <w:sz w:val="24"/>
                <w:lang w:val="en-US" w:eastAsia="zh-CN"/>
              </w:rPr>
              <w:t>对服务过程中各节点可能出现的风险有事先预估评判，并制定相应的服务风险防控措施，有相应的人力、物力投入安排，能够避免风险或出现风险能及时有效处理的，得</w:t>
            </w:r>
            <w:r>
              <w:rPr>
                <w:rFonts w:hint="eastAsia" w:ascii="仿宋_GB2312" w:hAnsi="仿宋_GB2312" w:eastAsia="仿宋_GB2312" w:cs="仿宋_GB2312"/>
                <w:b w:val="0"/>
                <w:bCs w:val="0"/>
                <w:color w:val="auto"/>
                <w:kern w:val="0"/>
                <w:sz w:val="24"/>
                <w:lang w:val="en-US" w:eastAsia="zh-CN"/>
              </w:rPr>
              <w:t>8</w:t>
            </w:r>
            <w:r>
              <w:rPr>
                <w:rFonts w:hint="default" w:ascii="仿宋_GB2312" w:hAnsi="仿宋_GB2312" w:eastAsia="仿宋_GB2312" w:cs="仿宋_GB2312"/>
                <w:b w:val="0"/>
                <w:bCs w:val="0"/>
                <w:color w:val="auto"/>
                <w:kern w:val="0"/>
                <w:sz w:val="24"/>
                <w:lang w:val="en-US" w:eastAsia="zh-CN"/>
              </w:rPr>
              <w:t>分；有提出服务过程中可能出现的风险，但制定的服务风险防控措施较为简单的，得</w:t>
            </w:r>
            <w:r>
              <w:rPr>
                <w:rFonts w:hint="eastAsia" w:ascii="仿宋_GB2312" w:hAnsi="仿宋_GB2312" w:eastAsia="仿宋_GB2312" w:cs="仿宋_GB2312"/>
                <w:b w:val="0"/>
                <w:bCs w:val="0"/>
                <w:color w:val="auto"/>
                <w:kern w:val="0"/>
                <w:sz w:val="24"/>
                <w:lang w:val="en-US" w:eastAsia="zh-CN"/>
              </w:rPr>
              <w:t>5</w:t>
            </w:r>
            <w:r>
              <w:rPr>
                <w:rFonts w:hint="default" w:ascii="仿宋_GB2312" w:hAnsi="仿宋_GB2312" w:eastAsia="仿宋_GB2312" w:cs="仿宋_GB2312"/>
                <w:b w:val="0"/>
                <w:bCs w:val="0"/>
                <w:color w:val="auto"/>
                <w:kern w:val="0"/>
                <w:sz w:val="24"/>
                <w:lang w:val="en-US" w:eastAsia="zh-CN"/>
              </w:rPr>
              <w:t>分；未提出服务风险防控措施或服务风险防控措施不可行或不符合项目招标需求的，不得分。</w:t>
            </w:r>
          </w:p>
        </w:tc>
        <w:tc>
          <w:tcPr>
            <w:tcW w:w="896" w:type="dxa"/>
            <w:noWrap/>
            <w:vAlign w:val="center"/>
          </w:tcPr>
          <w:p>
            <w:pPr>
              <w:rPr>
                <w:rFonts w:ascii="Times New Roman" w:hAnsi="Times New Roman"/>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trPr>
        <w:tc>
          <w:tcPr>
            <w:tcW w:w="600" w:type="dxa"/>
            <w:noWrap/>
            <w:vAlign w:val="center"/>
          </w:tcPr>
          <w:p>
            <w:pPr>
              <w:jc w:val="center"/>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w:t>
            </w:r>
          </w:p>
        </w:tc>
        <w:tc>
          <w:tcPr>
            <w:tcW w:w="1260" w:type="dxa"/>
            <w:noWrap/>
            <w:vAlign w:val="center"/>
          </w:tcPr>
          <w:p>
            <w:pPr>
              <w:widowControl/>
              <w:jc w:val="center"/>
              <w:textAlignment w:val="center"/>
              <w:rPr>
                <w:rFonts w:hint="eastAsia" w:ascii="仿宋_GB2312" w:hAnsi="仿宋_GB2312" w:eastAsia="仿宋_GB2312" w:cs="仿宋_GB2312"/>
                <w:b w:val="0"/>
                <w:bCs w:val="0"/>
                <w:color w:val="auto"/>
                <w:kern w:val="0"/>
                <w:sz w:val="24"/>
                <w:lang w:eastAsia="zh-CN"/>
              </w:rPr>
            </w:pPr>
            <w:r>
              <w:rPr>
                <w:rFonts w:hint="eastAsia" w:ascii="仿宋_GB2312" w:hAnsi="仿宋_GB2312" w:eastAsia="仿宋_GB2312" w:cs="仿宋_GB2312"/>
                <w:b w:val="0"/>
                <w:bCs w:val="0"/>
                <w:color w:val="auto"/>
                <w:kern w:val="0"/>
                <w:sz w:val="24"/>
                <w:lang w:eastAsia="zh-CN"/>
              </w:rPr>
              <w:t>天峰街院区大门、和平路院区大门氛围设计</w:t>
            </w:r>
            <w:r>
              <w:rPr>
                <w:rFonts w:hint="eastAsia" w:ascii="仿宋_GB2312" w:hAnsi="仿宋_GB2312" w:eastAsia="仿宋_GB2312" w:cs="仿宋_GB2312"/>
                <w:b w:val="0"/>
                <w:bCs w:val="0"/>
                <w:color w:val="auto"/>
                <w:kern w:val="0"/>
                <w:sz w:val="24"/>
                <w:lang w:val="en-US" w:eastAsia="zh-CN"/>
              </w:rPr>
              <w:t>15</w:t>
            </w:r>
            <w:r>
              <w:rPr>
                <w:rFonts w:hint="eastAsia" w:ascii="仿宋_GB2312" w:hAnsi="仿宋_GB2312" w:eastAsia="仿宋_GB2312" w:cs="仿宋_GB2312"/>
                <w:b w:val="0"/>
                <w:bCs w:val="0"/>
                <w:color w:val="auto"/>
                <w:kern w:val="0"/>
                <w:sz w:val="24"/>
              </w:rPr>
              <w:t>%</w:t>
            </w:r>
          </w:p>
        </w:tc>
        <w:tc>
          <w:tcPr>
            <w:tcW w:w="840" w:type="dxa"/>
            <w:noWrap/>
            <w:vAlign w:val="center"/>
          </w:tcPr>
          <w:p>
            <w:pPr>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15</w:t>
            </w:r>
            <w:r>
              <w:rPr>
                <w:rFonts w:hint="eastAsia" w:ascii="仿宋_GB2312" w:hAnsi="仿宋_GB2312" w:eastAsia="仿宋_GB2312" w:cs="仿宋_GB2312"/>
                <w:b w:val="0"/>
                <w:bCs w:val="0"/>
                <w:color w:val="auto"/>
              </w:rPr>
              <w:t>分</w:t>
            </w:r>
          </w:p>
        </w:tc>
        <w:tc>
          <w:tcPr>
            <w:tcW w:w="5970" w:type="dxa"/>
            <w:noWrap/>
            <w:vAlign w:val="center"/>
          </w:tcPr>
          <w:p>
            <w:pPr>
              <w:rPr>
                <w:rFonts w:hint="eastAsia" w:ascii="仿宋_GB2312" w:hAnsi="仿宋_GB2312" w:eastAsia="仿宋_GB2312" w:cs="仿宋_GB2312"/>
                <w:b w:val="0"/>
                <w:bCs w:val="0"/>
                <w:color w:val="auto"/>
                <w:kern w:val="0"/>
                <w:sz w:val="24"/>
                <w:lang w:val="en-US" w:eastAsia="zh-CN"/>
              </w:rPr>
            </w:pPr>
            <w:r>
              <w:rPr>
                <w:rFonts w:hint="eastAsia" w:ascii="仿宋_GB2312" w:hAnsi="仿宋_GB2312" w:eastAsia="仿宋_GB2312" w:cs="仿宋_GB2312"/>
                <w:b w:val="0"/>
                <w:bCs w:val="0"/>
                <w:color w:val="auto"/>
                <w:kern w:val="0"/>
                <w:sz w:val="24"/>
                <w:lang w:val="en-US" w:eastAsia="zh-CN"/>
              </w:rPr>
              <w:t>内容以春节、新年氛围营造为主题，形式不限，根据院区整体风格进行设计。含设计的效果图、具体材质、预算价格、安装，方案可以不止一套，以最优方案进行评分。设计主题鲜明，宣传效果好，操作性强，，性价比高文案层次清晰，构思新颖，画面协调，</w:t>
            </w:r>
            <w:r>
              <w:rPr>
                <w:rFonts w:hint="eastAsia" w:ascii="仿宋_GB2312" w:hAnsi="仿宋_GB2312" w:eastAsia="仿宋_GB2312" w:cs="仿宋_GB2312"/>
                <w:b w:val="0"/>
                <w:bCs w:val="0"/>
                <w:color w:val="auto"/>
                <w:sz w:val="24"/>
                <w:szCs w:val="24"/>
                <w:lang w:val="en-US" w:eastAsia="zh-CN"/>
              </w:rPr>
              <w:t>材质安排合理</w:t>
            </w:r>
            <w:r>
              <w:rPr>
                <w:rFonts w:hint="eastAsia" w:ascii="仿宋_GB2312" w:hAnsi="仿宋_GB2312" w:eastAsia="仿宋_GB2312" w:cs="仿宋_GB2312"/>
                <w:b w:val="0"/>
                <w:bCs w:val="0"/>
                <w:color w:val="auto"/>
                <w:kern w:val="0"/>
                <w:sz w:val="24"/>
                <w:lang w:val="en-US" w:eastAsia="zh-CN"/>
              </w:rPr>
              <w:t>得13分；主题明确，构图完整，</w:t>
            </w:r>
            <w:r>
              <w:rPr>
                <w:rFonts w:hint="eastAsia" w:ascii="仿宋_GB2312" w:hAnsi="仿宋_GB2312" w:eastAsia="仿宋_GB2312" w:cs="仿宋_GB2312"/>
                <w:b w:val="0"/>
                <w:bCs w:val="0"/>
                <w:color w:val="auto"/>
                <w:sz w:val="24"/>
                <w:szCs w:val="24"/>
                <w:lang w:val="en-US" w:eastAsia="zh-CN"/>
              </w:rPr>
              <w:t>材质安排较合理</w:t>
            </w:r>
            <w:r>
              <w:rPr>
                <w:rFonts w:hint="eastAsia" w:ascii="仿宋_GB2312" w:hAnsi="仿宋_GB2312" w:eastAsia="仿宋_GB2312" w:cs="仿宋_GB2312"/>
                <w:b w:val="0"/>
                <w:bCs w:val="0"/>
                <w:color w:val="auto"/>
                <w:kern w:val="0"/>
                <w:sz w:val="24"/>
                <w:lang w:val="en-US" w:eastAsia="zh-CN"/>
              </w:rPr>
              <w:t>得8分；主题明确，</w:t>
            </w:r>
            <w:r>
              <w:rPr>
                <w:rFonts w:hint="eastAsia" w:ascii="仿宋_GB2312" w:hAnsi="仿宋_GB2312" w:eastAsia="仿宋_GB2312" w:cs="仿宋_GB2312"/>
                <w:b w:val="0"/>
                <w:bCs w:val="0"/>
                <w:color w:val="auto"/>
                <w:sz w:val="24"/>
                <w:szCs w:val="24"/>
                <w:lang w:val="en-US" w:eastAsia="zh-CN"/>
              </w:rPr>
              <w:t>材质安排一般</w:t>
            </w:r>
            <w:r>
              <w:rPr>
                <w:rFonts w:hint="eastAsia" w:ascii="仿宋_GB2312" w:hAnsi="仿宋_GB2312" w:eastAsia="仿宋_GB2312" w:cs="仿宋_GB2312"/>
                <w:b w:val="0"/>
                <w:bCs w:val="0"/>
                <w:color w:val="auto"/>
                <w:kern w:val="0"/>
                <w:sz w:val="24"/>
                <w:lang w:val="en-US" w:eastAsia="zh-CN"/>
              </w:rPr>
              <w:t>得5分。主题不清不得分。（凡参与本次招标所出方案，无论中标与否，均默认同意院方使用，）</w:t>
            </w:r>
          </w:p>
        </w:tc>
        <w:tc>
          <w:tcPr>
            <w:tcW w:w="896" w:type="dxa"/>
            <w:noWrap/>
            <w:vAlign w:val="center"/>
          </w:tcPr>
          <w:p>
            <w:pPr>
              <w:rPr>
                <w:rFonts w:ascii="Times New Roman" w:hAnsi="Times New Roman"/>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600" w:type="dxa"/>
            <w:noWrap/>
            <w:vAlign w:val="center"/>
          </w:tcPr>
          <w:p>
            <w:pPr>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6</w:t>
            </w:r>
          </w:p>
        </w:tc>
        <w:tc>
          <w:tcPr>
            <w:tcW w:w="1260" w:type="dxa"/>
            <w:noWrap/>
            <w:vAlign w:val="center"/>
          </w:tcPr>
          <w:p>
            <w:pPr>
              <w:jc w:val="center"/>
              <w:rPr>
                <w:rFonts w:hint="default" w:ascii="仿宋_GB2312" w:hAnsi="仿宋_GB2312" w:eastAsia="仿宋_GB2312" w:cs="仿宋_GB2312"/>
                <w:b w:val="0"/>
                <w:bCs w:val="0"/>
                <w:color w:val="auto"/>
                <w:kern w:val="0"/>
                <w:sz w:val="24"/>
                <w:lang w:val="en-US" w:eastAsia="zh-CN"/>
              </w:rPr>
            </w:pPr>
            <w:r>
              <w:rPr>
                <w:rFonts w:hint="eastAsia" w:ascii="仿宋_GB2312" w:hAnsi="仿宋_GB2312" w:eastAsia="仿宋_GB2312" w:cs="仿宋_GB2312"/>
                <w:b w:val="0"/>
                <w:bCs w:val="0"/>
                <w:color w:val="auto"/>
                <w:kern w:val="0"/>
                <w:sz w:val="24"/>
              </w:rPr>
              <w:t>技术服团队</w:t>
            </w:r>
            <w:r>
              <w:rPr>
                <w:rFonts w:hint="eastAsia" w:ascii="仿宋_GB2312" w:hAnsi="仿宋_GB2312" w:eastAsia="仿宋_GB2312" w:cs="仿宋_GB2312"/>
                <w:b w:val="0"/>
                <w:bCs w:val="0"/>
                <w:color w:val="auto"/>
                <w:kern w:val="0"/>
                <w:sz w:val="24"/>
                <w:lang w:val="en-US" w:eastAsia="zh-CN"/>
              </w:rPr>
              <w:t>6%</w:t>
            </w:r>
          </w:p>
        </w:tc>
        <w:tc>
          <w:tcPr>
            <w:tcW w:w="840" w:type="dxa"/>
            <w:noWrap/>
            <w:vAlign w:val="center"/>
          </w:tcPr>
          <w:p>
            <w:pPr>
              <w:jc w:val="center"/>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6</w:t>
            </w:r>
          </w:p>
        </w:tc>
        <w:tc>
          <w:tcPr>
            <w:tcW w:w="5970" w:type="dxa"/>
            <w:noWrap/>
            <w:vAlign w:val="center"/>
          </w:tcPr>
          <w:p>
            <w:pPr>
              <w:rPr>
                <w:rFonts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rPr>
              <w:t>供应商拟投入本项目的技术服务团队人员在5人及以上的得</w:t>
            </w:r>
            <w:r>
              <w:rPr>
                <w:rFonts w:hint="eastAsia" w:ascii="仿宋_GB2312" w:hAnsi="仿宋_GB2312" w:eastAsia="仿宋_GB2312" w:cs="仿宋_GB2312"/>
                <w:b w:val="0"/>
                <w:bCs w:val="0"/>
                <w:color w:val="auto"/>
                <w:kern w:val="0"/>
                <w:sz w:val="24"/>
                <w:lang w:val="en-US" w:eastAsia="zh-CN"/>
              </w:rPr>
              <w:t>6</w:t>
            </w:r>
            <w:r>
              <w:rPr>
                <w:rFonts w:hint="eastAsia" w:ascii="仿宋_GB2312" w:hAnsi="仿宋_GB2312" w:eastAsia="仿宋_GB2312" w:cs="仿宋_GB2312"/>
                <w:b w:val="0"/>
                <w:bCs w:val="0"/>
                <w:color w:val="auto"/>
                <w:kern w:val="0"/>
                <w:sz w:val="24"/>
              </w:rPr>
              <w:t>分，4人的得</w:t>
            </w:r>
            <w:r>
              <w:rPr>
                <w:rFonts w:hint="eastAsia" w:ascii="仿宋_GB2312" w:hAnsi="仿宋_GB2312" w:eastAsia="仿宋_GB2312" w:cs="仿宋_GB2312"/>
                <w:b w:val="0"/>
                <w:bCs w:val="0"/>
                <w:color w:val="auto"/>
                <w:kern w:val="0"/>
                <w:sz w:val="24"/>
                <w:lang w:val="en-US" w:eastAsia="zh-CN"/>
              </w:rPr>
              <w:t>4</w:t>
            </w:r>
            <w:r>
              <w:rPr>
                <w:rFonts w:hint="eastAsia" w:ascii="仿宋_GB2312" w:hAnsi="仿宋_GB2312" w:eastAsia="仿宋_GB2312" w:cs="仿宋_GB2312"/>
                <w:b w:val="0"/>
                <w:bCs w:val="0"/>
                <w:color w:val="auto"/>
                <w:kern w:val="0"/>
                <w:sz w:val="24"/>
              </w:rPr>
              <w:t>分，3人及以</w:t>
            </w:r>
            <w:r>
              <w:rPr>
                <w:rFonts w:hint="eastAsia" w:ascii="仿宋_GB2312" w:hAnsi="仿宋_GB2312" w:eastAsia="仿宋_GB2312" w:cs="仿宋_GB2312"/>
                <w:b w:val="0"/>
                <w:bCs w:val="0"/>
                <w:color w:val="auto"/>
                <w:kern w:val="0"/>
                <w:sz w:val="24"/>
                <w:lang w:eastAsia="zh-CN"/>
              </w:rPr>
              <w:t>下</w:t>
            </w:r>
            <w:r>
              <w:rPr>
                <w:rFonts w:hint="eastAsia" w:ascii="仿宋_GB2312" w:hAnsi="仿宋_GB2312" w:eastAsia="仿宋_GB2312" w:cs="仿宋_GB2312"/>
                <w:b w:val="0"/>
                <w:bCs w:val="0"/>
                <w:color w:val="auto"/>
                <w:kern w:val="0"/>
                <w:sz w:val="24"/>
              </w:rPr>
              <w:t>得</w:t>
            </w:r>
            <w:r>
              <w:rPr>
                <w:rFonts w:hint="eastAsia" w:ascii="仿宋_GB2312" w:hAnsi="仿宋_GB2312" w:eastAsia="仿宋_GB2312" w:cs="仿宋_GB2312"/>
                <w:b w:val="0"/>
                <w:bCs w:val="0"/>
                <w:color w:val="auto"/>
                <w:kern w:val="0"/>
                <w:sz w:val="24"/>
                <w:lang w:val="en-US" w:eastAsia="zh-CN"/>
              </w:rPr>
              <w:t>2</w:t>
            </w:r>
            <w:r>
              <w:rPr>
                <w:rFonts w:hint="eastAsia" w:ascii="仿宋_GB2312" w:hAnsi="仿宋_GB2312" w:eastAsia="仿宋_GB2312" w:cs="仿宋_GB2312"/>
                <w:b w:val="0"/>
                <w:bCs w:val="0"/>
                <w:color w:val="auto"/>
                <w:kern w:val="0"/>
                <w:sz w:val="24"/>
              </w:rPr>
              <w:t>分。</w:t>
            </w:r>
          </w:p>
          <w:p>
            <w:pPr>
              <w:rPr>
                <w:rFonts w:hint="default" w:ascii="仿宋_GB2312" w:hAnsi="仿宋_GB2312" w:eastAsia="仿宋_GB2312" w:cs="仿宋_GB2312"/>
                <w:b w:val="0"/>
                <w:bCs w:val="0"/>
                <w:color w:val="auto"/>
                <w:kern w:val="0"/>
                <w:sz w:val="24"/>
                <w:lang w:val="en-US" w:eastAsia="zh-CN"/>
              </w:rPr>
            </w:pPr>
            <w:r>
              <w:rPr>
                <w:rFonts w:hint="eastAsia" w:ascii="仿宋_GB2312" w:hAnsi="仿宋_GB2312" w:eastAsia="仿宋_GB2312" w:cs="仿宋_GB2312"/>
                <w:b w:val="0"/>
                <w:bCs w:val="0"/>
                <w:color w:val="auto"/>
                <w:kern w:val="0"/>
                <w:sz w:val="24"/>
              </w:rPr>
              <w:t>注：提供相关人员于供应商签订的劳动合同复印件并加盖供应商鲜章。</w:t>
            </w:r>
          </w:p>
        </w:tc>
        <w:tc>
          <w:tcPr>
            <w:tcW w:w="896" w:type="dxa"/>
            <w:noWrap/>
            <w:vAlign w:val="center"/>
          </w:tcPr>
          <w:p>
            <w:pPr>
              <w:rPr>
                <w:rFonts w:ascii="Times New Roman" w:hAnsi="Times New Roman"/>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00" w:type="dxa"/>
            <w:noWrap/>
            <w:vAlign w:val="center"/>
          </w:tcPr>
          <w:p>
            <w:pPr>
              <w:jc w:val="center"/>
              <w:rPr>
                <w:rFonts w:hint="eastAsia" w:ascii="仿宋_GB2312" w:hAnsi="仿宋_GB2312" w:eastAsia="仿宋_GB2312" w:cs="仿宋_GB2312"/>
                <w:b w:val="0"/>
                <w:bCs w:val="0"/>
                <w:color w:val="auto"/>
                <w:lang w:eastAsia="zh-CN"/>
              </w:rPr>
            </w:pPr>
            <w:r>
              <w:rPr>
                <w:rFonts w:hint="eastAsia" w:ascii="仿宋_GB2312" w:hAnsi="仿宋_GB2312" w:eastAsia="仿宋_GB2312" w:cs="仿宋_GB2312"/>
                <w:b w:val="0"/>
                <w:bCs w:val="0"/>
                <w:color w:val="auto"/>
                <w:lang w:val="en-US" w:eastAsia="zh-CN"/>
              </w:rPr>
              <w:t>7</w:t>
            </w:r>
          </w:p>
        </w:tc>
        <w:tc>
          <w:tcPr>
            <w:tcW w:w="1260" w:type="dxa"/>
            <w:noWrap/>
            <w:vAlign w:val="center"/>
          </w:tcPr>
          <w:p>
            <w:pPr>
              <w:widowControl/>
              <w:jc w:val="center"/>
              <w:textAlignment w:val="center"/>
              <w:rPr>
                <w:rFonts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rPr>
              <w:t>业绩</w:t>
            </w:r>
            <w:r>
              <w:rPr>
                <w:rFonts w:hint="eastAsia" w:ascii="仿宋_GB2312" w:hAnsi="仿宋_GB2312" w:eastAsia="仿宋_GB2312" w:cs="仿宋_GB2312"/>
                <w:b w:val="0"/>
                <w:bCs w:val="0"/>
                <w:color w:val="auto"/>
                <w:kern w:val="0"/>
                <w:sz w:val="24"/>
                <w:lang w:val="en-US" w:eastAsia="zh-CN"/>
              </w:rPr>
              <w:t>6</w:t>
            </w:r>
            <w:r>
              <w:rPr>
                <w:rFonts w:hint="eastAsia" w:ascii="仿宋_GB2312" w:hAnsi="仿宋_GB2312" w:eastAsia="仿宋_GB2312" w:cs="仿宋_GB2312"/>
                <w:b w:val="0"/>
                <w:bCs w:val="0"/>
                <w:color w:val="auto"/>
                <w:kern w:val="0"/>
                <w:sz w:val="24"/>
              </w:rPr>
              <w:t>%</w:t>
            </w:r>
          </w:p>
        </w:tc>
        <w:tc>
          <w:tcPr>
            <w:tcW w:w="840" w:type="dxa"/>
            <w:noWrap/>
            <w:vAlign w:val="center"/>
          </w:tcPr>
          <w:p>
            <w:pPr>
              <w:widowControl/>
              <w:jc w:val="center"/>
              <w:textAlignment w:val="center"/>
              <w:rPr>
                <w:rFonts w:hint="default" w:ascii="仿宋_GB2312" w:hAnsi="仿宋_GB2312" w:eastAsia="仿宋_GB2312" w:cs="仿宋_GB2312"/>
                <w:b w:val="0"/>
                <w:bCs w:val="0"/>
                <w:color w:val="auto"/>
                <w:kern w:val="0"/>
                <w:sz w:val="24"/>
                <w:lang w:val="en-US" w:eastAsia="zh-CN"/>
              </w:rPr>
            </w:pPr>
            <w:r>
              <w:rPr>
                <w:rFonts w:hint="eastAsia" w:ascii="仿宋_GB2312" w:hAnsi="仿宋_GB2312" w:eastAsia="仿宋_GB2312" w:cs="仿宋_GB2312"/>
                <w:b w:val="0"/>
                <w:bCs w:val="0"/>
                <w:color w:val="auto"/>
                <w:kern w:val="0"/>
                <w:sz w:val="24"/>
                <w:lang w:val="en-US" w:eastAsia="zh-CN"/>
              </w:rPr>
              <w:t>6</w:t>
            </w:r>
          </w:p>
        </w:tc>
        <w:tc>
          <w:tcPr>
            <w:tcW w:w="5970" w:type="dxa"/>
            <w:noWrap/>
            <w:vAlign w:val="center"/>
          </w:tcPr>
          <w:p>
            <w:pPr>
              <w:widowControl/>
              <w:textAlignment w:val="center"/>
              <w:rPr>
                <w:rFonts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rPr>
              <w:t>独立承担过类似业绩，</w:t>
            </w:r>
            <w:r>
              <w:rPr>
                <w:rFonts w:hint="eastAsia" w:ascii="仿宋_GB2312" w:hAnsi="仿宋_GB2312" w:eastAsia="仿宋_GB2312" w:cs="仿宋_GB2312"/>
                <w:b w:val="0"/>
                <w:bCs w:val="0"/>
                <w:color w:val="auto"/>
                <w:kern w:val="0"/>
                <w:sz w:val="24"/>
                <w:lang w:eastAsia="zh-CN"/>
              </w:rPr>
              <w:t>最多提供</w:t>
            </w:r>
            <w:r>
              <w:rPr>
                <w:rFonts w:hint="eastAsia" w:ascii="仿宋_GB2312" w:hAnsi="仿宋_GB2312" w:eastAsia="仿宋_GB2312" w:cs="仿宋_GB2312"/>
                <w:b w:val="0"/>
                <w:bCs w:val="0"/>
                <w:color w:val="auto"/>
                <w:kern w:val="0"/>
                <w:sz w:val="24"/>
                <w:lang w:val="en-US" w:eastAsia="zh-CN"/>
              </w:rPr>
              <w:t>2个</w:t>
            </w:r>
            <w:r>
              <w:rPr>
                <w:rFonts w:hint="eastAsia" w:ascii="仿宋_GB2312" w:hAnsi="仿宋_GB2312" w:eastAsia="仿宋_GB2312" w:cs="仿宋_GB2312"/>
                <w:b w:val="0"/>
                <w:bCs w:val="0"/>
                <w:color w:val="auto"/>
                <w:kern w:val="0"/>
                <w:sz w:val="24"/>
              </w:rPr>
              <w:t>，本项最多得</w:t>
            </w:r>
            <w:r>
              <w:rPr>
                <w:rFonts w:hint="eastAsia" w:ascii="仿宋_GB2312" w:hAnsi="仿宋_GB2312" w:eastAsia="仿宋_GB2312" w:cs="仿宋_GB2312"/>
                <w:b w:val="0"/>
                <w:bCs w:val="0"/>
                <w:color w:val="auto"/>
                <w:kern w:val="0"/>
                <w:sz w:val="24"/>
                <w:lang w:val="en-US" w:eastAsia="zh-CN"/>
              </w:rPr>
              <w:t>6</w:t>
            </w:r>
            <w:r>
              <w:rPr>
                <w:rFonts w:hint="eastAsia" w:ascii="仿宋_GB2312" w:hAnsi="仿宋_GB2312" w:eastAsia="仿宋_GB2312" w:cs="仿宋_GB2312"/>
                <w:b w:val="0"/>
                <w:bCs w:val="0"/>
                <w:color w:val="auto"/>
                <w:kern w:val="0"/>
                <w:sz w:val="24"/>
              </w:rPr>
              <w:t>分，未提供不得分。</w:t>
            </w:r>
          </w:p>
          <w:p>
            <w:pPr>
              <w:widowControl/>
              <w:textAlignment w:val="center"/>
              <w:rPr>
                <w:rFonts w:ascii="仿宋_GB2312" w:hAnsi="仿宋_GB2312" w:eastAsia="仿宋_GB2312" w:cs="仿宋_GB2312"/>
                <w:b w:val="0"/>
                <w:bCs w:val="0"/>
                <w:color w:val="auto"/>
                <w:kern w:val="0"/>
                <w:sz w:val="24"/>
              </w:rPr>
            </w:pPr>
            <w:r>
              <w:rPr>
                <w:rFonts w:hint="eastAsia"/>
                <w:b w:val="0"/>
                <w:bCs w:val="0"/>
                <w:color w:val="auto"/>
                <w:kern w:val="0"/>
              </w:rPr>
              <w:t>注：</w:t>
            </w:r>
            <w:r>
              <w:rPr>
                <w:rFonts w:hint="eastAsia" w:ascii="仿宋_GB2312" w:hAnsi="仿宋_GB2312" w:eastAsia="仿宋_GB2312" w:cs="仿宋_GB2312"/>
                <w:b w:val="0"/>
                <w:bCs w:val="0"/>
                <w:color w:val="auto"/>
                <w:kern w:val="0"/>
                <w:sz w:val="24"/>
              </w:rPr>
              <w:t>提供中标/成交通知书或合同复印件或其他文字材料</w:t>
            </w:r>
            <w:r>
              <w:rPr>
                <w:rFonts w:hint="eastAsia" w:ascii="仿宋_GB2312" w:hAnsi="仿宋_GB2312" w:eastAsia="仿宋_GB2312" w:cs="仿宋_GB2312"/>
                <w:b w:val="0"/>
                <w:bCs w:val="0"/>
                <w:color w:val="auto"/>
                <w:kern w:val="0"/>
                <w:sz w:val="24"/>
                <w:lang w:eastAsia="zh-CN"/>
              </w:rPr>
              <w:t>，</w:t>
            </w:r>
            <w:r>
              <w:rPr>
                <w:rFonts w:hint="eastAsia" w:ascii="仿宋_GB2312" w:hAnsi="仿宋_GB2312" w:eastAsia="仿宋_GB2312" w:cs="仿宋_GB2312"/>
                <w:b w:val="0"/>
                <w:bCs w:val="0"/>
                <w:color w:val="auto"/>
                <w:kern w:val="0"/>
                <w:sz w:val="24"/>
              </w:rPr>
              <w:t>并加盖鲜章。（</w:t>
            </w:r>
            <w:r>
              <w:rPr>
                <w:rStyle w:val="25"/>
                <w:rFonts w:hint="eastAsia" w:hAnsi="仿宋_GB2312"/>
                <w:b w:val="0"/>
                <w:bCs w:val="0"/>
                <w:color w:val="auto"/>
              </w:rPr>
              <w:t>一经发现有造假立即解除合同</w:t>
            </w:r>
            <w:r>
              <w:rPr>
                <w:rStyle w:val="34"/>
                <w:rFonts w:hint="eastAsia" w:hAnsi="仿宋_GB2312"/>
                <w:b w:val="0"/>
                <w:bCs w:val="0"/>
                <w:color w:val="auto"/>
              </w:rPr>
              <w:t>）</w:t>
            </w:r>
          </w:p>
        </w:tc>
        <w:tc>
          <w:tcPr>
            <w:tcW w:w="896" w:type="dxa"/>
            <w:noWrap/>
            <w:vAlign w:val="center"/>
          </w:tcPr>
          <w:p>
            <w:pPr>
              <w:rPr>
                <w:rFonts w:ascii="Times New Roman" w:hAnsi="Times New Roman"/>
                <w:b w:val="0"/>
                <w:bCs w:val="0"/>
                <w:color w:val="auto"/>
              </w:rPr>
            </w:pPr>
          </w:p>
        </w:tc>
      </w:tr>
    </w:tbl>
    <w:p>
      <w:pPr>
        <w:pStyle w:val="2"/>
        <w:rPr>
          <w:rFonts w:hint="eastAsia" w:ascii="仿宋_GB2312" w:hAnsi="仿宋_GB2312" w:eastAsia="仿宋_GB2312" w:cs="仿宋_GB2312"/>
          <w:b w:val="0"/>
          <w:bCs w:val="0"/>
          <w:lang w:val="en-US" w:eastAsia="zh-CN"/>
        </w:rPr>
      </w:pPr>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auto"/>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BiMzcyZWEyYjdiNDdiZWEzMzIwNjA1NmVlZWMifQ=="/>
  </w:docVars>
  <w:rsids>
    <w:rsidRoot w:val="005908C4"/>
    <w:rsid w:val="0007772F"/>
    <w:rsid w:val="000D3AEE"/>
    <w:rsid w:val="001727A2"/>
    <w:rsid w:val="002046A0"/>
    <w:rsid w:val="00235B6F"/>
    <w:rsid w:val="00242C11"/>
    <w:rsid w:val="00260F11"/>
    <w:rsid w:val="003D1E3F"/>
    <w:rsid w:val="003D388A"/>
    <w:rsid w:val="003E17A2"/>
    <w:rsid w:val="00444380"/>
    <w:rsid w:val="00462EED"/>
    <w:rsid w:val="00590092"/>
    <w:rsid w:val="005908C4"/>
    <w:rsid w:val="00602A36"/>
    <w:rsid w:val="006703E3"/>
    <w:rsid w:val="00697163"/>
    <w:rsid w:val="006F2EAA"/>
    <w:rsid w:val="00715237"/>
    <w:rsid w:val="007C5D34"/>
    <w:rsid w:val="0086482A"/>
    <w:rsid w:val="00892C9F"/>
    <w:rsid w:val="009727B2"/>
    <w:rsid w:val="009F1FC1"/>
    <w:rsid w:val="00AA4A32"/>
    <w:rsid w:val="00AE688E"/>
    <w:rsid w:val="00B006EB"/>
    <w:rsid w:val="00D528DA"/>
    <w:rsid w:val="00D76B45"/>
    <w:rsid w:val="00E207B4"/>
    <w:rsid w:val="00E55561"/>
    <w:rsid w:val="00E5722A"/>
    <w:rsid w:val="00E66588"/>
    <w:rsid w:val="00F14389"/>
    <w:rsid w:val="01147703"/>
    <w:rsid w:val="017B774E"/>
    <w:rsid w:val="01EE6549"/>
    <w:rsid w:val="027E613F"/>
    <w:rsid w:val="055C5637"/>
    <w:rsid w:val="061007E8"/>
    <w:rsid w:val="06485E03"/>
    <w:rsid w:val="086C6822"/>
    <w:rsid w:val="08C412EB"/>
    <w:rsid w:val="08CB0808"/>
    <w:rsid w:val="08DE4018"/>
    <w:rsid w:val="08F4624B"/>
    <w:rsid w:val="09127629"/>
    <w:rsid w:val="0A380E25"/>
    <w:rsid w:val="0B0867F5"/>
    <w:rsid w:val="0B660F7D"/>
    <w:rsid w:val="0BC2686F"/>
    <w:rsid w:val="0D051B42"/>
    <w:rsid w:val="0D4A3861"/>
    <w:rsid w:val="0E9737D0"/>
    <w:rsid w:val="0F437DB4"/>
    <w:rsid w:val="0F6B3960"/>
    <w:rsid w:val="0F724942"/>
    <w:rsid w:val="119D4B1B"/>
    <w:rsid w:val="14BD66ED"/>
    <w:rsid w:val="150E3040"/>
    <w:rsid w:val="16072E4F"/>
    <w:rsid w:val="17054526"/>
    <w:rsid w:val="17A252C5"/>
    <w:rsid w:val="17F42A8D"/>
    <w:rsid w:val="18116ECC"/>
    <w:rsid w:val="187E6699"/>
    <w:rsid w:val="18C66CA9"/>
    <w:rsid w:val="1956660C"/>
    <w:rsid w:val="19983BCC"/>
    <w:rsid w:val="1AD3096B"/>
    <w:rsid w:val="1B5B37A8"/>
    <w:rsid w:val="1CA3349C"/>
    <w:rsid w:val="1DB4234F"/>
    <w:rsid w:val="1E4A616F"/>
    <w:rsid w:val="1E5A248F"/>
    <w:rsid w:val="1E83443A"/>
    <w:rsid w:val="1ED14821"/>
    <w:rsid w:val="1ED51ED3"/>
    <w:rsid w:val="1F9C61EE"/>
    <w:rsid w:val="1FA51FD0"/>
    <w:rsid w:val="1FDD6E90"/>
    <w:rsid w:val="20282386"/>
    <w:rsid w:val="206C658E"/>
    <w:rsid w:val="20823833"/>
    <w:rsid w:val="214B29C3"/>
    <w:rsid w:val="21610D1A"/>
    <w:rsid w:val="21B0403A"/>
    <w:rsid w:val="22243F01"/>
    <w:rsid w:val="2276562D"/>
    <w:rsid w:val="22DB2A40"/>
    <w:rsid w:val="24783EEF"/>
    <w:rsid w:val="24E223DF"/>
    <w:rsid w:val="256D6A5C"/>
    <w:rsid w:val="25943A43"/>
    <w:rsid w:val="261B0526"/>
    <w:rsid w:val="263D325B"/>
    <w:rsid w:val="26FF6F87"/>
    <w:rsid w:val="27F03BE0"/>
    <w:rsid w:val="28944AE8"/>
    <w:rsid w:val="289D4B33"/>
    <w:rsid w:val="297A3ED9"/>
    <w:rsid w:val="297A4149"/>
    <w:rsid w:val="29F125D5"/>
    <w:rsid w:val="2A8A6AAE"/>
    <w:rsid w:val="2D1139F4"/>
    <w:rsid w:val="2F1B42B7"/>
    <w:rsid w:val="30371A3E"/>
    <w:rsid w:val="30681285"/>
    <w:rsid w:val="31C978BE"/>
    <w:rsid w:val="32D5248E"/>
    <w:rsid w:val="35BF0790"/>
    <w:rsid w:val="361402BE"/>
    <w:rsid w:val="36727BE2"/>
    <w:rsid w:val="368D0A96"/>
    <w:rsid w:val="36FD2DEB"/>
    <w:rsid w:val="37737E5C"/>
    <w:rsid w:val="38376840"/>
    <w:rsid w:val="38C94119"/>
    <w:rsid w:val="396041AC"/>
    <w:rsid w:val="3A00614F"/>
    <w:rsid w:val="3BB7353F"/>
    <w:rsid w:val="3D6E2980"/>
    <w:rsid w:val="3E623E77"/>
    <w:rsid w:val="3E8C40FA"/>
    <w:rsid w:val="3EE33056"/>
    <w:rsid w:val="3F3B6E9F"/>
    <w:rsid w:val="3FB54866"/>
    <w:rsid w:val="3FD61700"/>
    <w:rsid w:val="3FDB4E00"/>
    <w:rsid w:val="40250D4D"/>
    <w:rsid w:val="40D51792"/>
    <w:rsid w:val="40F16869"/>
    <w:rsid w:val="416424A6"/>
    <w:rsid w:val="42BE4C8C"/>
    <w:rsid w:val="439B196A"/>
    <w:rsid w:val="439C2E9F"/>
    <w:rsid w:val="45366DBD"/>
    <w:rsid w:val="457E4796"/>
    <w:rsid w:val="46401036"/>
    <w:rsid w:val="46955E71"/>
    <w:rsid w:val="474B2A15"/>
    <w:rsid w:val="474F4F77"/>
    <w:rsid w:val="47AA50B6"/>
    <w:rsid w:val="48592FEA"/>
    <w:rsid w:val="4A057DE2"/>
    <w:rsid w:val="4A3D53B8"/>
    <w:rsid w:val="4A7506E1"/>
    <w:rsid w:val="4A793D9D"/>
    <w:rsid w:val="4B59499D"/>
    <w:rsid w:val="4B645E43"/>
    <w:rsid w:val="4B87460E"/>
    <w:rsid w:val="4B94037D"/>
    <w:rsid w:val="4CCC3C6F"/>
    <w:rsid w:val="4D3523D3"/>
    <w:rsid w:val="4DB51293"/>
    <w:rsid w:val="4E2C1CC7"/>
    <w:rsid w:val="4FAC0F2D"/>
    <w:rsid w:val="4FBF17B7"/>
    <w:rsid w:val="50007E81"/>
    <w:rsid w:val="500D7D0B"/>
    <w:rsid w:val="508C4293"/>
    <w:rsid w:val="521A7572"/>
    <w:rsid w:val="52A25A99"/>
    <w:rsid w:val="52B850BE"/>
    <w:rsid w:val="52DF3B64"/>
    <w:rsid w:val="53061176"/>
    <w:rsid w:val="53561A52"/>
    <w:rsid w:val="53BE757D"/>
    <w:rsid w:val="54AD2824"/>
    <w:rsid w:val="55056B59"/>
    <w:rsid w:val="561A1EEF"/>
    <w:rsid w:val="563863F3"/>
    <w:rsid w:val="567A127C"/>
    <w:rsid w:val="5763323A"/>
    <w:rsid w:val="57D26D20"/>
    <w:rsid w:val="587009E0"/>
    <w:rsid w:val="58DB32C9"/>
    <w:rsid w:val="590E504B"/>
    <w:rsid w:val="597077FA"/>
    <w:rsid w:val="59C95D39"/>
    <w:rsid w:val="59F81A95"/>
    <w:rsid w:val="5AF54827"/>
    <w:rsid w:val="5B522E89"/>
    <w:rsid w:val="5B6806D3"/>
    <w:rsid w:val="5C8C1F35"/>
    <w:rsid w:val="5DA233C7"/>
    <w:rsid w:val="5DA84284"/>
    <w:rsid w:val="5DE470D4"/>
    <w:rsid w:val="5EE565D7"/>
    <w:rsid w:val="5EE832F7"/>
    <w:rsid w:val="60E569DB"/>
    <w:rsid w:val="61174B37"/>
    <w:rsid w:val="61B06041"/>
    <w:rsid w:val="61E07132"/>
    <w:rsid w:val="620913F7"/>
    <w:rsid w:val="623D1C57"/>
    <w:rsid w:val="626E4B50"/>
    <w:rsid w:val="62866D8E"/>
    <w:rsid w:val="63E836CF"/>
    <w:rsid w:val="64157FE1"/>
    <w:rsid w:val="64792A73"/>
    <w:rsid w:val="64F90EBE"/>
    <w:rsid w:val="67804B47"/>
    <w:rsid w:val="695B1709"/>
    <w:rsid w:val="6A85538B"/>
    <w:rsid w:val="6AEE6F18"/>
    <w:rsid w:val="6B6E64BF"/>
    <w:rsid w:val="6C935742"/>
    <w:rsid w:val="6CDA7DDE"/>
    <w:rsid w:val="6F40631D"/>
    <w:rsid w:val="6F5224E9"/>
    <w:rsid w:val="6FBD50B0"/>
    <w:rsid w:val="6FC138AF"/>
    <w:rsid w:val="70037228"/>
    <w:rsid w:val="705C39A2"/>
    <w:rsid w:val="7076253A"/>
    <w:rsid w:val="70871AD7"/>
    <w:rsid w:val="70CE5958"/>
    <w:rsid w:val="70D21960"/>
    <w:rsid w:val="725C70E8"/>
    <w:rsid w:val="73F154C9"/>
    <w:rsid w:val="74765611"/>
    <w:rsid w:val="765C4CB4"/>
    <w:rsid w:val="774F5565"/>
    <w:rsid w:val="77591F00"/>
    <w:rsid w:val="775D621C"/>
    <w:rsid w:val="777925E2"/>
    <w:rsid w:val="78621982"/>
    <w:rsid w:val="78B05943"/>
    <w:rsid w:val="78C00D2A"/>
    <w:rsid w:val="7A324215"/>
    <w:rsid w:val="7A560E98"/>
    <w:rsid w:val="7AA068CD"/>
    <w:rsid w:val="7C215833"/>
    <w:rsid w:val="7CF43977"/>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1" w:semiHidden="0" w:name="heading 3"/>
    <w:lsdException w:qFormat="1" w:uiPriority="9"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1"/>
    <w:pPr>
      <w:ind w:left="-12"/>
      <w:outlineLvl w:val="2"/>
    </w:pPr>
    <w:rPr>
      <w:rFonts w:hint="eastAsia" w:ascii="宋体" w:hAnsi="宋体" w:eastAsia="宋体"/>
      <w:b/>
      <w:sz w:val="36"/>
    </w:rPr>
  </w:style>
  <w:style w:type="paragraph" w:styleId="5">
    <w:name w:val="heading 5"/>
    <w:basedOn w:val="1"/>
    <w:next w:val="1"/>
    <w:link w:val="29"/>
    <w:unhideWhenUsed/>
    <w:qFormat/>
    <w:uiPriority w:val="1"/>
    <w:pPr>
      <w:outlineLvl w:val="4"/>
    </w:pPr>
    <w:rPr>
      <w:rFonts w:hint="eastAsia" w:ascii="宋体" w:hAnsi="宋体" w:eastAsia="宋体"/>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8"/>
    </w:pPr>
    <w:rPr>
      <w:rFonts w:ascii="宋体" w:hAnsi="宋体" w:eastAsia="宋体" w:cs="宋体"/>
      <w:sz w:val="32"/>
      <w:szCs w:val="32"/>
      <w:lang w:val="zh-CN" w:eastAsia="zh-CN" w:bidi="zh-CN"/>
    </w:rPr>
  </w:style>
  <w:style w:type="paragraph" w:styleId="6">
    <w:name w:val="Body Text Indent"/>
    <w:basedOn w:val="1"/>
    <w:qFormat/>
    <w:uiPriority w:val="0"/>
    <w:pPr>
      <w:spacing w:line="520" w:lineRule="exact"/>
      <w:ind w:firstLine="480" w:firstLineChars="200"/>
    </w:pPr>
    <w:rPr>
      <w:rFonts w:ascii="Calibri" w:hAnsi="Calibri"/>
      <w:kern w:val="0"/>
      <w:sz w:val="24"/>
      <w:szCs w:val="20"/>
    </w:rPr>
  </w:style>
  <w:style w:type="paragraph" w:styleId="7">
    <w:name w:val="Plain Text"/>
    <w:basedOn w:val="1"/>
    <w:qFormat/>
    <w:uiPriority w:val="6"/>
    <w:rPr>
      <w:rFonts w:ascii="宋体" w:hAnsi="宋体" w:cs="Courier New"/>
      <w:kern w:val="1"/>
      <w:szCs w:val="21"/>
    </w:rPr>
  </w:style>
  <w:style w:type="paragraph" w:styleId="8">
    <w:name w:val="Date"/>
    <w:basedOn w:val="1"/>
    <w:next w:val="1"/>
    <w:link w:val="21"/>
    <w:semiHidden/>
    <w:unhideWhenUsed/>
    <w:qFormat/>
    <w:uiPriority w:val="99"/>
    <w:pPr>
      <w:ind w:left="100" w:leftChars="2500"/>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6"/>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paragraph" w:customStyle="1" w:styleId="1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日期 Char"/>
    <w:basedOn w:val="16"/>
    <w:link w:val="8"/>
    <w:semiHidden/>
    <w:qFormat/>
    <w:uiPriority w:val="99"/>
  </w:style>
  <w:style w:type="character" w:customStyle="1" w:styleId="22">
    <w:name w:val="apple-style-span"/>
    <w:basedOn w:val="16"/>
    <w:qFormat/>
    <w:uiPriority w:val="0"/>
    <w:rPr>
      <w:rFonts w:hint="default" w:ascii="Times New Roman"/>
    </w:rPr>
  </w:style>
  <w:style w:type="character" w:customStyle="1" w:styleId="23">
    <w:name w:val="标题 1 Char"/>
    <w:link w:val="3"/>
    <w:qFormat/>
    <w:uiPriority w:val="0"/>
    <w:rPr>
      <w:b/>
      <w:bCs/>
      <w:kern w:val="44"/>
      <w:sz w:val="44"/>
      <w:szCs w:val="44"/>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font11"/>
    <w:basedOn w:val="16"/>
    <w:qFormat/>
    <w:uiPriority w:val="0"/>
    <w:rPr>
      <w:rFonts w:hint="eastAsia" w:ascii="宋体" w:hAnsi="宋体" w:eastAsia="宋体" w:cs="宋体"/>
      <w:color w:val="000000"/>
      <w:sz w:val="24"/>
      <w:szCs w:val="24"/>
      <w:u w:val="none"/>
    </w:rPr>
  </w:style>
  <w:style w:type="paragraph" w:customStyle="1" w:styleId="2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27">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paragraph" w:customStyle="1" w:styleId="28">
    <w:name w:val="Table Paragraph"/>
    <w:basedOn w:val="1"/>
    <w:qFormat/>
    <w:uiPriority w:val="1"/>
    <w:pPr>
      <w:spacing w:before="21"/>
      <w:ind w:left="108"/>
    </w:pPr>
    <w:rPr>
      <w:rFonts w:ascii="宋体" w:hAnsi="宋体" w:eastAsia="宋体" w:cs="宋体"/>
      <w:lang w:val="zh-CN" w:eastAsia="zh-CN" w:bidi="zh-CN"/>
    </w:rPr>
  </w:style>
  <w:style w:type="character" w:customStyle="1" w:styleId="29">
    <w:name w:val="标题 5 Char"/>
    <w:link w:val="5"/>
    <w:qFormat/>
    <w:uiPriority w:val="1"/>
    <w:rPr>
      <w:rFonts w:hint="eastAsia" w:ascii="宋体" w:hAnsi="宋体" w:eastAsia="宋体"/>
      <w:sz w:val="32"/>
    </w:rPr>
  </w:style>
  <w:style w:type="paragraph" w:customStyle="1" w:styleId="30">
    <w:name w:val="表格"/>
    <w:basedOn w:val="1"/>
    <w:qFormat/>
    <w:uiPriority w:val="0"/>
    <w:pPr>
      <w:spacing w:line="400" w:lineRule="exact"/>
    </w:pPr>
    <w:rPr>
      <w:rFonts w:ascii="Times New Roman" w:hAnsi="Times New Roman" w:eastAsia="宋体" w:cs="Times New Roman"/>
      <w:sz w:val="24"/>
      <w:szCs w:val="24"/>
    </w:rPr>
  </w:style>
  <w:style w:type="character" w:customStyle="1" w:styleId="31">
    <w:name w:val="apple-converted-space"/>
    <w:basedOn w:val="16"/>
    <w:qFormat/>
    <w:uiPriority w:val="0"/>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character" w:customStyle="1" w:styleId="34">
    <w:name w:val="font21"/>
    <w:basedOn w:val="16"/>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2261</Words>
  <Characters>2345</Characters>
  <Lines>18</Lines>
  <Paragraphs>5</Paragraphs>
  <TotalTime>19</TotalTime>
  <ScaleCrop>false</ScaleCrop>
  <LinksUpToDate>false</LinksUpToDate>
  <CharactersWithSpaces>2487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痕迹</cp:lastModifiedBy>
  <cp:lastPrinted>2023-06-01T01:16:00Z</cp:lastPrinted>
  <dcterms:modified xsi:type="dcterms:W3CDTF">2023-10-18T08:30:35Z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1F90E0D80E124259AEA5E00759E02784_13</vt:lpwstr>
  </property>
  <property fmtid="{D5CDD505-2E9C-101B-9397-08002B2CF9AE}" pid="4" name="commondata">
    <vt:lpwstr>eyJoZGlkIjoiOWQwMGZiM2I2N2E5NTM5YjM1OTU4N2UwNzJlMWE3MGIifQ==</vt:lpwstr>
  </property>
</Properties>
</file>