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附件1：</w:t>
      </w:r>
    </w:p>
    <w:p>
      <w:pPr>
        <w:spacing w:line="360" w:lineRule="exact"/>
        <w:jc w:val="center"/>
        <w:rPr>
          <w:rFonts w:hint="eastAsia" w:ascii="宋体" w:hAnsi="宋体" w:eastAsia="宋体" w:cs="宋体"/>
          <w:b/>
          <w:bCs/>
          <w:color w:val="000000" w:themeColor="text1"/>
          <w:sz w:val="30"/>
          <w:szCs w:val="30"/>
          <w:highlight w:val="none"/>
          <w14:textFill>
            <w14:solidFill>
              <w14:schemeClr w14:val="tx1"/>
            </w14:solidFill>
          </w14:textFill>
        </w:rPr>
      </w:pPr>
      <w:r>
        <w:rPr>
          <w:rFonts w:hint="eastAsia" w:ascii="方正小标宋简体" w:hAnsi="方正小标宋简体" w:eastAsia="方正小标宋简体" w:cs="方正小标宋简体"/>
          <w:color w:val="auto"/>
          <w:sz w:val="30"/>
          <w:szCs w:val="30"/>
          <w:highlight w:val="none"/>
          <w:lang w:val="en-US" w:eastAsia="zh-CN"/>
        </w:rPr>
        <w:t>有害生物防治</w:t>
      </w:r>
      <w:r>
        <w:rPr>
          <w:rFonts w:hint="eastAsia" w:ascii="宋体" w:hAnsi="宋体" w:eastAsia="宋体" w:cs="宋体"/>
          <w:b/>
          <w:bCs/>
          <w:color w:val="000000" w:themeColor="text1"/>
          <w:sz w:val="30"/>
          <w:szCs w:val="30"/>
          <w:highlight w:val="none"/>
          <w14:textFill>
            <w14:solidFill>
              <w14:schemeClr w14:val="tx1"/>
            </w14:solidFill>
          </w14:textFill>
        </w:rPr>
        <w:t>服务</w:t>
      </w:r>
      <w:r>
        <w:rPr>
          <w:rFonts w:hint="eastAsia" w:cs="宋体"/>
          <w:b/>
          <w:bCs/>
          <w:color w:val="000000" w:themeColor="text1"/>
          <w:sz w:val="30"/>
          <w:szCs w:val="30"/>
          <w:highlight w:val="none"/>
          <w:lang w:eastAsia="zh-CN"/>
          <w14:textFill>
            <w14:solidFill>
              <w14:schemeClr w14:val="tx1"/>
            </w14:solidFill>
          </w14:textFill>
        </w:rPr>
        <w:t>需求明细</w:t>
      </w:r>
      <w:r>
        <w:rPr>
          <w:rFonts w:hint="eastAsia" w:ascii="宋体" w:hAnsi="宋体" w:eastAsia="宋体" w:cs="宋体"/>
          <w:b/>
          <w:bCs/>
          <w:color w:val="000000" w:themeColor="text1"/>
          <w:sz w:val="30"/>
          <w:szCs w:val="30"/>
          <w:highlight w:val="none"/>
          <w14:textFill>
            <w14:solidFill>
              <w14:schemeClr w14:val="tx1"/>
            </w14:solidFill>
          </w14:textFill>
        </w:rPr>
        <w:t>及</w:t>
      </w:r>
      <w:r>
        <w:rPr>
          <w:rFonts w:hint="eastAsia" w:cs="宋体"/>
          <w:b/>
          <w:bCs/>
          <w:color w:val="000000" w:themeColor="text1"/>
          <w:sz w:val="30"/>
          <w:szCs w:val="30"/>
          <w:highlight w:val="none"/>
          <w:lang w:eastAsia="zh-CN"/>
          <w14:textFill>
            <w14:solidFill>
              <w14:schemeClr w14:val="tx1"/>
            </w14:solidFill>
          </w14:textFill>
        </w:rPr>
        <w:t>服务验收</w:t>
      </w:r>
      <w:r>
        <w:rPr>
          <w:rFonts w:hint="eastAsia" w:ascii="宋体" w:hAnsi="宋体" w:eastAsia="宋体" w:cs="宋体"/>
          <w:b/>
          <w:bCs/>
          <w:color w:val="000000" w:themeColor="text1"/>
          <w:sz w:val="30"/>
          <w:szCs w:val="30"/>
          <w:highlight w:val="none"/>
          <w14:textFill>
            <w14:solidFill>
              <w14:schemeClr w14:val="tx1"/>
            </w14:solidFill>
          </w14:textFill>
        </w:rPr>
        <w:t>标准</w:t>
      </w:r>
    </w:p>
    <w:p>
      <w:pPr>
        <w:rPr>
          <w:b/>
          <w:sz w:val="24"/>
          <w:highlight w:val="none"/>
        </w:rPr>
      </w:pPr>
      <w:bookmarkStart w:id="0" w:name="_Toc36458757"/>
      <w:bookmarkStart w:id="1" w:name="_Toc25901"/>
    </w:p>
    <w:bookmarkEnd w:id="0"/>
    <w:bookmarkEnd w:id="1"/>
    <w:p>
      <w:pPr>
        <w:ind w:firstLine="480" w:firstLineChars="200"/>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u w:val="none"/>
          <w14:textFill>
            <w14:solidFill>
              <w14:schemeClr w14:val="tx1"/>
            </w14:solidFill>
          </w14:textFill>
        </w:rPr>
        <w:t>防治对象：</w:t>
      </w:r>
      <w:r>
        <w:rPr>
          <w:rFonts w:hint="eastAsia" w:cs="宋体"/>
          <w:color w:val="000000" w:themeColor="text1"/>
          <w:sz w:val="24"/>
          <w:szCs w:val="24"/>
          <w:highlight w:val="none"/>
          <w:u w:val="none"/>
          <w:lang w:val="en-US" w:eastAsia="zh-CN"/>
          <w14:textFill>
            <w14:solidFill>
              <w14:schemeClr w14:val="tx1"/>
            </w14:solidFill>
          </w14:textFill>
        </w:rPr>
        <w:t>包含但不限于</w:t>
      </w:r>
      <w:r>
        <w:rPr>
          <w:rFonts w:hint="eastAsia" w:ascii="宋体" w:hAnsi="宋体" w:eastAsia="宋体" w:cs="宋体"/>
          <w:color w:val="000000" w:themeColor="text1"/>
          <w:sz w:val="24"/>
          <w:szCs w:val="24"/>
          <w:highlight w:val="none"/>
          <w:u w:val="none"/>
          <w14:textFill>
            <w14:solidFill>
              <w14:schemeClr w14:val="tx1"/>
            </w14:solidFill>
          </w14:textFill>
        </w:rPr>
        <w:t>老鼠</w:t>
      </w:r>
      <w:r>
        <w:rPr>
          <w:rFonts w:hint="eastAsia"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苍蝇</w:t>
      </w:r>
      <w:r>
        <w:rPr>
          <w:rFonts w:hint="eastAsia"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蚊子</w:t>
      </w:r>
      <w:r>
        <w:rPr>
          <w:rFonts w:hint="eastAsia"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蟑螂</w:t>
      </w:r>
      <w:r>
        <w:rPr>
          <w:rFonts w:hint="eastAsia"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马陆</w:t>
      </w:r>
      <w:r>
        <w:rPr>
          <w:rFonts w:hint="eastAsia"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蜈蚣</w:t>
      </w:r>
      <w:r>
        <w:rPr>
          <w:rFonts w:hint="eastAsia"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飞蛾</w:t>
      </w:r>
      <w:r>
        <w:rPr>
          <w:rFonts w:hint="eastAsia"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蛾蠓</w:t>
      </w:r>
      <w:r>
        <w:rPr>
          <w:rFonts w:hint="eastAsia" w:cs="宋体"/>
          <w:color w:val="000000" w:themeColor="text1"/>
          <w:sz w:val="24"/>
          <w:szCs w:val="24"/>
          <w:highlight w:val="none"/>
          <w:u w:val="none"/>
          <w:lang w:eastAsia="zh-CN"/>
          <w14:textFill>
            <w14:solidFill>
              <w14:schemeClr w14:val="tx1"/>
            </w14:solidFill>
          </w14:textFill>
        </w:rPr>
        <w:t>、</w:t>
      </w:r>
      <w:r>
        <w:rPr>
          <w:rFonts w:hint="eastAsia" w:cs="宋体"/>
          <w:color w:val="000000" w:themeColor="text1"/>
          <w:sz w:val="24"/>
          <w:szCs w:val="24"/>
          <w:highlight w:val="none"/>
          <w:u w:val="none"/>
          <w:lang w:val="en-US" w:eastAsia="zh-CN"/>
          <w14:textFill>
            <w14:solidFill>
              <w14:schemeClr w14:val="tx1"/>
            </w14:solidFill>
          </w14:textFill>
        </w:rPr>
        <w:t>白蚁</w:t>
      </w:r>
      <w:r>
        <w:rPr>
          <w:rFonts w:hint="eastAsia" w:ascii="宋体" w:hAnsi="宋体" w:cs="宋体"/>
          <w:color w:val="000000" w:themeColor="text1"/>
          <w:sz w:val="24"/>
          <w:szCs w:val="24"/>
          <w:highlight w:val="none"/>
          <w:u w:val="none"/>
          <w:lang w:eastAsia="zh-CN"/>
          <w14:textFill>
            <w14:solidFill>
              <w14:schemeClr w14:val="tx1"/>
            </w14:solidFill>
          </w14:textFill>
        </w:rPr>
        <w:t>等各类有害生物</w:t>
      </w:r>
      <w:r>
        <w:rPr>
          <w:rFonts w:hint="eastAsia" w:ascii="宋体" w:hAnsi="宋体" w:eastAsia="宋体" w:cs="宋体"/>
          <w:color w:val="000000" w:themeColor="text1"/>
          <w:sz w:val="24"/>
          <w:szCs w:val="24"/>
          <w:highlight w:val="none"/>
          <w:u w:val="none"/>
          <w14:textFill>
            <w14:solidFill>
              <w14:schemeClr w14:val="tx1"/>
            </w14:solidFill>
          </w14:textFill>
        </w:rPr>
        <w:t>。</w:t>
      </w:r>
    </w:p>
    <w:p>
      <w:pPr>
        <w:ind w:firstLine="480" w:firstLineChars="200"/>
        <w:rPr>
          <w:rFonts w:hint="default"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2.防治范围：</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天峰街院区、和平路院区、川北医学院中西医结合临床医学院</w:t>
      </w:r>
      <w:r>
        <w:rPr>
          <w:rFonts w:hint="eastAsia" w:ascii="宋体" w:hAnsi="宋体" w:eastAsia="宋体" w:cs="宋体"/>
          <w:color w:val="000000" w:themeColor="text1"/>
          <w:sz w:val="24"/>
          <w:szCs w:val="24"/>
          <w:highlight w:val="none"/>
          <w:u w:val="none"/>
          <w14:textFill>
            <w14:solidFill>
              <w14:schemeClr w14:val="tx1"/>
            </w14:solidFill>
          </w14:textFill>
        </w:rPr>
        <w:t>。</w:t>
      </w:r>
    </w:p>
    <w:p>
      <w:pPr>
        <w:ind w:firstLine="480" w:firstLineChars="200"/>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3.防治频次：每月服务不低于2次，同时</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供应商应</w:t>
      </w:r>
      <w:r>
        <w:rPr>
          <w:rFonts w:hint="eastAsia" w:ascii="宋体" w:hAnsi="宋体" w:eastAsia="宋体" w:cs="宋体"/>
          <w:color w:val="000000" w:themeColor="text1"/>
          <w:sz w:val="24"/>
          <w:szCs w:val="24"/>
          <w:highlight w:val="none"/>
          <w:u w:val="none"/>
          <w14:textFill>
            <w14:solidFill>
              <w14:schemeClr w14:val="tx1"/>
            </w14:solidFill>
          </w14:textFill>
        </w:rPr>
        <w:t>全年无频率限制的</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向采购人提供</w:t>
      </w:r>
      <w:r>
        <w:rPr>
          <w:rFonts w:hint="eastAsia" w:ascii="宋体" w:hAnsi="宋体" w:eastAsia="宋体" w:cs="宋体"/>
          <w:color w:val="000000" w:themeColor="text1"/>
          <w:sz w:val="24"/>
          <w:szCs w:val="24"/>
          <w:highlight w:val="none"/>
          <w:u w:val="none"/>
          <w14:textFill>
            <w14:solidFill>
              <w14:schemeClr w14:val="tx1"/>
            </w14:solidFill>
          </w14:textFill>
        </w:rPr>
        <w:t>应急服务（上级检查、大型活动、非常规虫害出现等）。</w:t>
      </w:r>
    </w:p>
    <w:p>
      <w:pPr>
        <w:ind w:firstLine="480" w:firstLineChars="200"/>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4.应急要求：</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在采购人</w:t>
      </w:r>
      <w:r>
        <w:rPr>
          <w:rFonts w:hint="eastAsia" w:ascii="宋体" w:hAnsi="宋体" w:eastAsia="宋体" w:cs="宋体"/>
          <w:color w:val="000000" w:themeColor="text1"/>
          <w:sz w:val="24"/>
          <w:szCs w:val="24"/>
          <w:highlight w:val="none"/>
          <w:u w:val="none"/>
          <w14:textFill>
            <w14:solidFill>
              <w14:schemeClr w14:val="tx1"/>
            </w14:solidFill>
          </w14:textFill>
        </w:rPr>
        <w:t>通知</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成交供应商</w:t>
      </w:r>
      <w:r>
        <w:rPr>
          <w:rFonts w:hint="eastAsia" w:ascii="宋体" w:hAnsi="宋体" w:eastAsia="宋体" w:cs="宋体"/>
          <w:color w:val="000000" w:themeColor="text1"/>
          <w:sz w:val="24"/>
          <w:szCs w:val="24"/>
          <w:highlight w:val="none"/>
          <w:u w:val="none"/>
          <w14:textFill>
            <w14:solidFill>
              <w14:schemeClr w14:val="tx1"/>
            </w14:solidFill>
          </w14:textFill>
        </w:rPr>
        <w:t>后，</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成交供应商</w:t>
      </w:r>
      <w:r>
        <w:rPr>
          <w:rFonts w:hint="eastAsia" w:ascii="宋体" w:hAnsi="宋体" w:eastAsia="宋体" w:cs="宋体"/>
          <w:color w:val="000000" w:themeColor="text1"/>
          <w:sz w:val="24"/>
          <w:szCs w:val="24"/>
          <w:highlight w:val="none"/>
          <w:u w:val="none"/>
          <w14:textFill>
            <w14:solidFill>
              <w14:schemeClr w14:val="tx1"/>
            </w14:solidFill>
          </w14:textFill>
        </w:rPr>
        <w:t>需要在1小时内</w:t>
      </w:r>
      <w:r>
        <w:rPr>
          <w:rFonts w:hint="eastAsia" w:ascii="宋体" w:hAnsi="宋体" w:eastAsia="宋体" w:cs="宋体"/>
          <w:color w:val="000000" w:themeColor="text1"/>
          <w:sz w:val="24"/>
          <w:szCs w:val="24"/>
          <w:highlight w:val="none"/>
          <w:u w:val="none"/>
          <w:lang w:eastAsia="zh-CN"/>
          <w14:textFill>
            <w14:solidFill>
              <w14:schemeClr w14:val="tx1"/>
            </w14:solidFill>
          </w14:textFill>
        </w:rPr>
        <w:t>到达</w:t>
      </w:r>
      <w:r>
        <w:rPr>
          <w:rFonts w:hint="eastAsia" w:ascii="宋体" w:hAnsi="宋体" w:eastAsia="宋体" w:cs="宋体"/>
          <w:color w:val="000000" w:themeColor="text1"/>
          <w:sz w:val="24"/>
          <w:szCs w:val="24"/>
          <w:highlight w:val="none"/>
          <w:u w:val="none"/>
          <w14:textFill>
            <w14:solidFill>
              <w14:schemeClr w14:val="tx1"/>
            </w14:solidFill>
          </w14:textFill>
        </w:rPr>
        <w:t>现场进行应急处理。</w:t>
      </w:r>
    </w:p>
    <w:p>
      <w:pPr>
        <w:pStyle w:val="11"/>
        <w:ind w:firstLine="480" w:firstLineChars="200"/>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cs="宋体"/>
          <w:color w:val="000000" w:themeColor="text1"/>
          <w:sz w:val="24"/>
          <w:szCs w:val="24"/>
          <w:highlight w:val="none"/>
          <w:u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none"/>
          <w14:textFill>
            <w14:solidFill>
              <w14:schemeClr w14:val="tx1"/>
            </w14:solidFill>
          </w14:textFill>
        </w:rPr>
        <w:t>病媒生物防治标准（服务验收标准）</w:t>
      </w:r>
    </w:p>
    <w:p>
      <w:pPr>
        <w:pStyle w:val="52"/>
        <w:ind w:right="-50" w:rightChars="-24" w:firstLine="560"/>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病媒生物防制标准是指中华人民共和国卫生部和中国国家标准化管理委员会于2011年12月30日发布，2012年04月01日实施的国家标准。</w:t>
      </w:r>
    </w:p>
    <w:p>
      <w:pPr>
        <w:pStyle w:val="11"/>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GB/T 27770-2011 病媒生物密度控制水平 鼠类》</w:t>
      </w:r>
      <w:r>
        <w:rPr>
          <w:rFonts w:hint="eastAsia" w:ascii="宋体" w:hAnsi="宋体" w:eastAsia="宋体" w:cs="宋体"/>
          <w:color w:val="000000" w:themeColor="text1"/>
          <w:sz w:val="24"/>
          <w:szCs w:val="24"/>
          <w:highlight w:val="none"/>
          <w:u w:val="single"/>
          <w14:textFill>
            <w14:solidFill>
              <w14:schemeClr w14:val="tx1"/>
            </w14:solidFill>
          </w14:textFill>
        </w:rPr>
        <w:t>C</w:t>
      </w:r>
      <w:r>
        <w:rPr>
          <w:rFonts w:hint="eastAsia" w:ascii="宋体" w:hAnsi="宋体" w:eastAsia="宋体" w:cs="宋体"/>
          <w:color w:val="000000" w:themeColor="text1"/>
          <w:sz w:val="24"/>
          <w:szCs w:val="24"/>
          <w:highlight w:val="none"/>
          <w14:textFill>
            <w14:solidFill>
              <w14:schemeClr w14:val="tx1"/>
            </w14:solidFill>
          </w14:textFill>
        </w:rPr>
        <w:t>级；</w:t>
      </w:r>
    </w:p>
    <w:p>
      <w:pPr>
        <w:pStyle w:val="11"/>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（2）《GB/T 27771-2011 病媒生物密度控制水平 蚊类》</w:t>
      </w:r>
      <w:r>
        <w:rPr>
          <w:rFonts w:hint="eastAsia" w:ascii="宋体" w:hAnsi="宋体" w:eastAsia="宋体" w:cs="宋体"/>
          <w:color w:val="000000" w:themeColor="text1"/>
          <w:sz w:val="24"/>
          <w:szCs w:val="24"/>
          <w:highlight w:val="none"/>
          <w:u w:val="single"/>
          <w14:textFill>
            <w14:solidFill>
              <w14:schemeClr w14:val="tx1"/>
            </w14:solidFill>
          </w14:textFill>
        </w:rPr>
        <w:t>C</w:t>
      </w:r>
      <w:r>
        <w:rPr>
          <w:rFonts w:hint="eastAsia" w:ascii="宋体" w:hAnsi="宋体" w:eastAsia="宋体" w:cs="宋体"/>
          <w:color w:val="000000" w:themeColor="text1"/>
          <w:sz w:val="24"/>
          <w:szCs w:val="24"/>
          <w:highlight w:val="none"/>
          <w14:textFill>
            <w14:solidFill>
              <w14:schemeClr w14:val="tx1"/>
            </w14:solidFill>
          </w14:textFill>
        </w:rPr>
        <w:t>级；</w:t>
      </w:r>
    </w:p>
    <w:p>
      <w:pPr>
        <w:pStyle w:val="11"/>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（3）《GB/T 27772-2011 病媒生物密度控制水平 蝇类》</w:t>
      </w:r>
      <w:r>
        <w:rPr>
          <w:rFonts w:hint="eastAsia" w:ascii="宋体" w:hAnsi="宋体" w:eastAsia="宋体" w:cs="宋体"/>
          <w:color w:val="000000" w:themeColor="text1"/>
          <w:sz w:val="24"/>
          <w:szCs w:val="24"/>
          <w:highlight w:val="none"/>
          <w:u w:val="single"/>
          <w14:textFill>
            <w14:solidFill>
              <w14:schemeClr w14:val="tx1"/>
            </w14:solidFill>
          </w14:textFill>
        </w:rPr>
        <w:t>C</w:t>
      </w:r>
      <w:r>
        <w:rPr>
          <w:rFonts w:hint="eastAsia" w:ascii="宋体" w:hAnsi="宋体" w:eastAsia="宋体" w:cs="宋体"/>
          <w:color w:val="000000" w:themeColor="text1"/>
          <w:sz w:val="24"/>
          <w:szCs w:val="24"/>
          <w:highlight w:val="none"/>
          <w14:textFill>
            <w14:solidFill>
              <w14:schemeClr w14:val="tx1"/>
            </w14:solidFill>
          </w14:textFill>
        </w:rPr>
        <w:t>级；</w:t>
      </w:r>
    </w:p>
    <w:p>
      <w:pPr>
        <w:pStyle w:val="11"/>
        <w:ind w:firstLine="480" w:firstLineChars="200"/>
        <w:rPr>
          <w:rFonts w:hint="eastAsia" w:ascii="仿宋_GB2312" w:hAnsi="仿宋_GB2312" w:eastAsia="仿宋_GB2312" w:cs="仿宋_GB2312"/>
          <w:sz w:val="28"/>
          <w:szCs w:val="28"/>
          <w:highlight w:val="none"/>
          <w:lang w:val="en-US" w:eastAsia="zh-CN"/>
        </w:rPr>
      </w:pPr>
      <w:r>
        <w:rPr>
          <w:rFonts w:hint="eastAsia" w:ascii="宋体" w:hAnsi="宋体" w:eastAsia="宋体" w:cs="宋体"/>
          <w:color w:val="000000" w:themeColor="text1"/>
          <w:sz w:val="24"/>
          <w:szCs w:val="24"/>
          <w:highlight w:val="none"/>
          <w14:textFill>
            <w14:solidFill>
              <w14:schemeClr w14:val="tx1"/>
            </w14:solidFill>
          </w14:textFill>
        </w:rPr>
        <w:t>（4）《GB/T 27773-2011 病媒生物密度控制水平 蜚蠊》</w:t>
      </w:r>
      <w:r>
        <w:rPr>
          <w:rFonts w:hint="eastAsia" w:ascii="宋体" w:hAnsi="宋体" w:eastAsia="宋体" w:cs="宋体"/>
          <w:color w:val="000000" w:themeColor="text1"/>
          <w:sz w:val="24"/>
          <w:szCs w:val="24"/>
          <w:highlight w:val="none"/>
          <w:u w:val="single"/>
          <w14:textFill>
            <w14:solidFill>
              <w14:schemeClr w14:val="tx1"/>
            </w14:solidFill>
          </w14:textFill>
        </w:rPr>
        <w:t>C</w:t>
      </w:r>
      <w:r>
        <w:rPr>
          <w:rFonts w:hint="eastAsia" w:ascii="宋体" w:hAnsi="宋体" w:eastAsia="宋体" w:cs="宋体"/>
          <w:color w:val="000000" w:themeColor="text1"/>
          <w:sz w:val="24"/>
          <w:szCs w:val="24"/>
          <w:highlight w:val="none"/>
          <w14:textFill>
            <w14:solidFill>
              <w14:schemeClr w14:val="tx1"/>
            </w14:solidFill>
          </w14:textFill>
        </w:rPr>
        <w:t>级</w:t>
      </w:r>
      <w:r>
        <w:rPr>
          <w:rFonts w:hint="eastAsia" w:cs="宋体"/>
          <w:color w:val="000000" w:themeColor="text1"/>
          <w:sz w:val="24"/>
          <w:szCs w:val="24"/>
          <w:highlight w:val="none"/>
          <w:lang w:eastAsia="zh-CN"/>
          <w14:textFill>
            <w14:solidFill>
              <w14:schemeClr w14:val="tx1"/>
            </w14:solidFill>
          </w14:textFill>
        </w:rPr>
        <w:t>。</w:t>
      </w:r>
    </w:p>
    <w:p>
      <w:pPr>
        <w:rPr>
          <w:rFonts w:hint="eastAsia" w:ascii="仿宋_GB2312" w:hAnsi="仿宋_GB2312" w:eastAsia="仿宋_GB2312" w:cs="仿宋_GB2312"/>
          <w:sz w:val="28"/>
          <w:szCs w:val="28"/>
          <w:highlight w:val="none"/>
          <w:lang w:val="en-US" w:eastAsia="zh-CN"/>
        </w:rPr>
      </w:pPr>
    </w:p>
    <w:p>
      <w:pPr>
        <w:rPr>
          <w:rFonts w:hint="eastAsia" w:ascii="仿宋_GB2312" w:hAnsi="仿宋_GB2312" w:eastAsia="仿宋_GB2312" w:cs="仿宋_GB2312"/>
          <w:sz w:val="28"/>
          <w:szCs w:val="28"/>
          <w:highlight w:val="none"/>
          <w:lang w:val="en-US" w:eastAsia="zh-CN"/>
        </w:rPr>
      </w:pPr>
    </w:p>
    <w:p>
      <w:pPr>
        <w:rPr>
          <w:rFonts w:hint="eastAsia" w:ascii="仿宋_GB2312" w:hAnsi="仿宋_GB2312" w:eastAsia="仿宋_GB2312" w:cs="仿宋_GB2312"/>
          <w:sz w:val="28"/>
          <w:szCs w:val="28"/>
          <w:highlight w:val="none"/>
          <w:lang w:val="en-US" w:eastAsia="zh-CN"/>
        </w:rPr>
      </w:pPr>
    </w:p>
    <w:p>
      <w:pPr>
        <w:rPr>
          <w:rFonts w:hint="eastAsia" w:ascii="仿宋_GB2312" w:hAnsi="仿宋_GB2312" w:eastAsia="仿宋_GB2312" w:cs="仿宋_GB2312"/>
          <w:sz w:val="28"/>
          <w:szCs w:val="28"/>
          <w:highlight w:val="none"/>
          <w:lang w:val="en-US" w:eastAsia="zh-CN"/>
        </w:rPr>
      </w:pPr>
    </w:p>
    <w:p>
      <w:pPr>
        <w:rPr>
          <w:rFonts w:hint="eastAsia" w:ascii="仿宋_GB2312" w:hAnsi="仿宋_GB2312" w:eastAsia="仿宋_GB2312" w:cs="仿宋_GB2312"/>
          <w:sz w:val="28"/>
          <w:szCs w:val="28"/>
          <w:highlight w:val="none"/>
          <w:lang w:val="en-US" w:eastAsia="zh-CN"/>
        </w:rPr>
      </w:pPr>
    </w:p>
    <w:p>
      <w:pPr>
        <w:rPr>
          <w:rFonts w:hint="eastAsia" w:ascii="仿宋_GB2312" w:hAnsi="仿宋_GB2312" w:eastAsia="仿宋_GB2312" w:cs="仿宋_GB2312"/>
          <w:sz w:val="28"/>
          <w:szCs w:val="28"/>
          <w:highlight w:val="none"/>
          <w:lang w:val="en-US" w:eastAsia="zh-CN"/>
        </w:rPr>
      </w:pPr>
    </w:p>
    <w:p>
      <w:pPr>
        <w:rPr>
          <w:rFonts w:hint="eastAsia" w:ascii="仿宋_GB2312" w:hAnsi="仿宋_GB2312" w:eastAsia="仿宋_GB2312" w:cs="仿宋_GB2312"/>
          <w:sz w:val="28"/>
          <w:szCs w:val="28"/>
          <w:highlight w:val="none"/>
          <w:lang w:val="en-US" w:eastAsia="zh-CN"/>
        </w:rPr>
      </w:pPr>
    </w:p>
    <w:p>
      <w:pPr>
        <w:rPr>
          <w:rFonts w:hint="eastAsia" w:ascii="仿宋_GB2312" w:hAnsi="仿宋_GB2312" w:eastAsia="仿宋_GB2312" w:cs="仿宋_GB2312"/>
          <w:sz w:val="28"/>
          <w:szCs w:val="28"/>
          <w:highlight w:val="none"/>
          <w:lang w:val="en-US" w:eastAsia="zh-CN"/>
        </w:rPr>
      </w:pPr>
    </w:p>
    <w:p>
      <w:pPr>
        <w:rPr>
          <w:rFonts w:hint="eastAsia" w:ascii="仿宋_GB2312" w:hAnsi="仿宋_GB2312" w:eastAsia="仿宋_GB2312" w:cs="仿宋_GB2312"/>
          <w:sz w:val="28"/>
          <w:szCs w:val="28"/>
          <w:highlight w:val="none"/>
          <w:lang w:val="en-US" w:eastAsia="zh-CN"/>
        </w:rPr>
      </w:pPr>
    </w:p>
    <w:p>
      <w:pPr>
        <w:rPr>
          <w:rFonts w:hint="eastAsia" w:ascii="仿宋_GB2312" w:hAnsi="仿宋_GB2312" w:eastAsia="仿宋_GB2312" w:cs="仿宋_GB2312"/>
          <w:sz w:val="28"/>
          <w:szCs w:val="28"/>
          <w:highlight w:val="none"/>
          <w:lang w:val="en-US" w:eastAsia="zh-CN"/>
        </w:rPr>
      </w:pPr>
    </w:p>
    <w:p>
      <w:pPr>
        <w:rPr>
          <w:rFonts w:hint="eastAsia" w:ascii="仿宋_GB2312" w:hAnsi="仿宋_GB2312" w:eastAsia="仿宋_GB2312" w:cs="仿宋_GB2312"/>
          <w:sz w:val="28"/>
          <w:szCs w:val="28"/>
          <w:highlight w:val="none"/>
          <w:lang w:val="en-US" w:eastAsia="zh-CN"/>
        </w:rPr>
      </w:pPr>
    </w:p>
    <w:p>
      <w:pPr>
        <w:rPr>
          <w:rFonts w:hint="eastAsia" w:ascii="仿宋_GB2312" w:hAnsi="仿宋_GB2312" w:eastAsia="仿宋_GB2312" w:cs="仿宋_GB2312"/>
          <w:sz w:val="28"/>
          <w:szCs w:val="28"/>
          <w:highlight w:val="none"/>
          <w:lang w:val="en-US" w:eastAsia="zh-CN"/>
        </w:rPr>
      </w:pPr>
    </w:p>
    <w:p>
      <w:pPr>
        <w:rPr>
          <w:rFonts w:hint="eastAsia" w:ascii="仿宋_GB2312" w:hAnsi="仿宋_GB2312" w:eastAsia="仿宋_GB2312" w:cs="仿宋_GB2312"/>
          <w:sz w:val="28"/>
          <w:szCs w:val="28"/>
          <w:highlight w:val="none"/>
          <w:lang w:val="en-US" w:eastAsia="zh-CN"/>
        </w:rPr>
      </w:pPr>
    </w:p>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附件2：</w:t>
      </w:r>
    </w:p>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jc w:val="center"/>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考核表</w:t>
      </w:r>
    </w:p>
    <w:tbl>
      <w:tblPr>
        <w:tblStyle w:val="21"/>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7590"/>
        <w:gridCol w:w="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jc w:val="center"/>
              <w:textAlignment w:val="auto"/>
              <w:rPr>
                <w:rFonts w:hint="eastAsia" w:eastAsia="宋体"/>
                <w:sz w:val="21"/>
                <w:szCs w:val="21"/>
                <w:highlight w:val="none"/>
                <w:u w:val="none"/>
                <w:vertAlign w:val="baseline"/>
                <w:lang w:val="en-US" w:eastAsia="zh-CN"/>
              </w:rPr>
            </w:pPr>
            <w:r>
              <w:rPr>
                <w:rFonts w:hint="eastAsia"/>
                <w:sz w:val="21"/>
                <w:szCs w:val="21"/>
                <w:highlight w:val="none"/>
                <w:u w:val="none"/>
                <w:vertAlign w:val="baseline"/>
                <w:lang w:val="en-US" w:eastAsia="zh-CN"/>
              </w:rPr>
              <w:t>序号</w:t>
            </w:r>
          </w:p>
        </w:tc>
        <w:tc>
          <w:tcPr>
            <w:tcW w:w="7590" w:type="dxa"/>
            <w:vAlign w:val="center"/>
          </w:tcPr>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jc w:val="center"/>
              <w:textAlignment w:val="auto"/>
              <w:rPr>
                <w:rFonts w:hint="default"/>
                <w:sz w:val="21"/>
                <w:szCs w:val="21"/>
                <w:highlight w:val="none"/>
                <w:u w:val="none"/>
                <w:vertAlign w:val="baseline"/>
                <w:lang w:val="en-US" w:eastAsia="zh-CN"/>
              </w:rPr>
            </w:pPr>
            <w:r>
              <w:rPr>
                <w:rFonts w:hint="eastAsia"/>
                <w:sz w:val="21"/>
                <w:szCs w:val="21"/>
                <w:highlight w:val="none"/>
                <w:u w:val="none"/>
                <w:vertAlign w:val="baseline"/>
                <w:lang w:val="en-US" w:eastAsia="zh-CN"/>
              </w:rPr>
              <w:t>项目</w:t>
            </w:r>
          </w:p>
        </w:tc>
        <w:tc>
          <w:tcPr>
            <w:tcW w:w="681" w:type="dxa"/>
            <w:vAlign w:val="center"/>
          </w:tcPr>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0" w:leftChars="0" w:right="0" w:rightChars="0" w:firstLine="0" w:firstLineChars="0"/>
              <w:jc w:val="center"/>
              <w:textAlignment w:val="auto"/>
              <w:rPr>
                <w:rFonts w:hint="eastAsia" w:ascii="宋体" w:hAnsi="宋体" w:eastAsia="宋体" w:cs="宋体"/>
                <w:sz w:val="21"/>
                <w:szCs w:val="21"/>
                <w:highlight w:val="none"/>
                <w:u w:val="none"/>
                <w:vertAlign w:val="baseline"/>
                <w:lang w:val="en-US" w:eastAsia="zh-CN" w:bidi="zh-CN"/>
              </w:rPr>
            </w:pPr>
            <w:r>
              <w:rPr>
                <w:rFonts w:hint="eastAsia"/>
                <w:sz w:val="21"/>
                <w:szCs w:val="21"/>
                <w:highlight w:val="none"/>
                <w:u w:val="none"/>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jc w:val="center"/>
              <w:textAlignment w:val="auto"/>
              <w:rPr>
                <w:rFonts w:hint="default"/>
                <w:sz w:val="21"/>
                <w:szCs w:val="21"/>
                <w:highlight w:val="none"/>
                <w:u w:val="none"/>
                <w:vertAlign w:val="baseline"/>
                <w:lang w:val="en-US" w:eastAsia="zh-CN"/>
              </w:rPr>
            </w:pPr>
            <w:r>
              <w:rPr>
                <w:rFonts w:hint="eastAsia"/>
                <w:sz w:val="21"/>
                <w:szCs w:val="21"/>
                <w:highlight w:val="none"/>
                <w:u w:val="none"/>
                <w:vertAlign w:val="baseline"/>
                <w:lang w:val="en-US" w:eastAsia="zh-CN"/>
              </w:rPr>
              <w:t>1</w:t>
            </w:r>
          </w:p>
        </w:tc>
        <w:tc>
          <w:tcPr>
            <w:tcW w:w="7590" w:type="dxa"/>
            <w:vAlign w:val="center"/>
          </w:tcPr>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jc w:val="both"/>
              <w:textAlignment w:val="auto"/>
              <w:rPr>
                <w:rFonts w:hint="default" w:eastAsia="宋体"/>
                <w:sz w:val="21"/>
                <w:szCs w:val="21"/>
                <w:highlight w:val="none"/>
                <w:u w:val="none"/>
                <w:vertAlign w:val="baseline"/>
                <w:lang w:val="en-US" w:eastAsia="zh-CN"/>
              </w:rPr>
            </w:pPr>
            <w:r>
              <w:rPr>
                <w:rFonts w:hint="default"/>
                <w:sz w:val="21"/>
                <w:szCs w:val="21"/>
                <w:highlight w:val="none"/>
                <w:u w:val="none"/>
                <w:vertAlign w:val="baseline"/>
                <w:lang w:val="en-US" w:eastAsia="zh-CN"/>
              </w:rPr>
              <w:t>每月服务不低于2次</w:t>
            </w:r>
            <w:r>
              <w:rPr>
                <w:rFonts w:hint="eastAsia"/>
                <w:sz w:val="21"/>
                <w:szCs w:val="21"/>
                <w:highlight w:val="none"/>
                <w:u w:val="none"/>
                <w:vertAlign w:val="baseline"/>
                <w:lang w:val="en-US" w:eastAsia="zh-CN"/>
              </w:rPr>
              <w:t>，</w:t>
            </w:r>
            <w:r>
              <w:rPr>
                <w:rFonts w:hint="default"/>
                <w:sz w:val="21"/>
                <w:szCs w:val="21"/>
                <w:highlight w:val="none"/>
                <w:u w:val="none"/>
                <w:vertAlign w:val="baseline"/>
                <w:lang w:val="en-US" w:eastAsia="zh-CN"/>
              </w:rPr>
              <w:t>应急服务（相关部门检查、大型活动、非常规虫害出现等）全年无频率限制，</w:t>
            </w:r>
            <w:r>
              <w:rPr>
                <w:rFonts w:hint="eastAsia"/>
                <w:sz w:val="21"/>
                <w:szCs w:val="21"/>
                <w:highlight w:val="none"/>
                <w:u w:val="none"/>
                <w:vertAlign w:val="baseline"/>
                <w:lang w:val="en-US" w:eastAsia="zh-CN"/>
              </w:rPr>
              <w:t>每次接到院方通知后需在</w:t>
            </w:r>
            <w:r>
              <w:rPr>
                <w:rFonts w:hint="default"/>
                <w:sz w:val="21"/>
                <w:szCs w:val="21"/>
                <w:highlight w:val="none"/>
                <w:u w:val="none"/>
                <w:vertAlign w:val="baseline"/>
                <w:lang w:val="en-US" w:eastAsia="zh-CN"/>
              </w:rPr>
              <w:t>1小时内到达现场勘察处理。</w:t>
            </w:r>
            <w:r>
              <w:rPr>
                <w:rFonts w:hint="eastAsia"/>
                <w:sz w:val="21"/>
                <w:szCs w:val="21"/>
                <w:highlight w:val="none"/>
                <w:u w:val="none"/>
                <w:vertAlign w:val="baseline"/>
                <w:lang w:val="en-US" w:eastAsia="zh-CN"/>
              </w:rPr>
              <w:t>每次接到院方通知后</w:t>
            </w:r>
            <w:r>
              <w:rPr>
                <w:rFonts w:hint="eastAsia"/>
                <w:sz w:val="21"/>
                <w:szCs w:val="21"/>
                <w:highlight w:val="none"/>
                <w:lang w:val="en-US" w:eastAsia="zh-CN"/>
              </w:rPr>
              <w:t>未履行的一次扣1分，扣完为止。</w:t>
            </w:r>
          </w:p>
        </w:tc>
        <w:tc>
          <w:tcPr>
            <w:tcW w:w="681" w:type="dxa"/>
            <w:vAlign w:val="center"/>
          </w:tcPr>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0" w:leftChars="0" w:right="0" w:rightChars="0" w:firstLine="0" w:firstLineChars="0"/>
              <w:jc w:val="center"/>
              <w:textAlignment w:val="auto"/>
              <w:rPr>
                <w:rFonts w:hint="default" w:ascii="宋体" w:hAnsi="宋体" w:eastAsia="宋体" w:cs="宋体"/>
                <w:sz w:val="21"/>
                <w:szCs w:val="21"/>
                <w:highlight w:val="none"/>
                <w:u w:val="none"/>
                <w:vertAlign w:val="baseline"/>
                <w:lang w:val="en-US" w:eastAsia="zh-CN" w:bidi="zh-CN"/>
              </w:rPr>
            </w:pPr>
            <w:r>
              <w:rPr>
                <w:rFonts w:hint="eastAsia"/>
                <w:sz w:val="21"/>
                <w:szCs w:val="21"/>
                <w:highlight w:val="none"/>
                <w:u w:val="none"/>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jc w:val="center"/>
              <w:textAlignment w:val="auto"/>
              <w:rPr>
                <w:rFonts w:hint="default"/>
                <w:sz w:val="21"/>
                <w:szCs w:val="21"/>
                <w:highlight w:val="none"/>
                <w:u w:val="none"/>
                <w:vertAlign w:val="baseline"/>
                <w:lang w:val="en-US" w:eastAsia="zh-CN"/>
              </w:rPr>
            </w:pPr>
            <w:r>
              <w:rPr>
                <w:rFonts w:hint="eastAsia"/>
                <w:sz w:val="21"/>
                <w:szCs w:val="21"/>
                <w:highlight w:val="none"/>
                <w:u w:val="none"/>
                <w:vertAlign w:val="baseline"/>
                <w:lang w:val="en-US" w:eastAsia="zh-CN"/>
              </w:rPr>
              <w:t>2</w:t>
            </w:r>
          </w:p>
        </w:tc>
        <w:tc>
          <w:tcPr>
            <w:tcW w:w="7590" w:type="dxa"/>
            <w:vAlign w:val="center"/>
          </w:tcPr>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jc w:val="both"/>
              <w:textAlignment w:val="auto"/>
              <w:rPr>
                <w:rFonts w:hint="default"/>
                <w:sz w:val="21"/>
                <w:szCs w:val="21"/>
                <w:highlight w:val="none"/>
                <w:u w:val="none"/>
                <w:vertAlign w:val="baseline"/>
                <w:lang w:val="en-US" w:eastAsia="zh-CN"/>
              </w:rPr>
            </w:pPr>
            <w:r>
              <w:rPr>
                <w:rFonts w:hint="eastAsia"/>
                <w:sz w:val="21"/>
                <w:szCs w:val="21"/>
                <w:highlight w:val="none"/>
                <w:u w:val="none"/>
                <w:vertAlign w:val="baseline"/>
                <w:lang w:val="en-US" w:eastAsia="zh-CN"/>
              </w:rPr>
              <w:t>提供勘察报告、虫害防治建议书、</w:t>
            </w:r>
            <w:r>
              <w:rPr>
                <w:rFonts w:hint="default"/>
                <w:sz w:val="21"/>
                <w:szCs w:val="21"/>
                <w:highlight w:val="none"/>
                <w:u w:val="none"/>
                <w:vertAlign w:val="baseline"/>
                <w:lang w:val="en-US" w:eastAsia="zh-CN"/>
              </w:rPr>
              <w:t>每次服务提供现场服务图片，服务记录单和医院相关工作人员签字确认，每</w:t>
            </w:r>
            <w:r>
              <w:rPr>
                <w:rFonts w:hint="eastAsia"/>
                <w:sz w:val="21"/>
                <w:szCs w:val="21"/>
                <w:highlight w:val="none"/>
                <w:u w:val="none"/>
                <w:vertAlign w:val="baseline"/>
                <w:lang w:val="en-US" w:eastAsia="zh-CN"/>
              </w:rPr>
              <w:t>季度</w:t>
            </w:r>
            <w:r>
              <w:rPr>
                <w:rFonts w:hint="default"/>
                <w:sz w:val="21"/>
                <w:szCs w:val="21"/>
                <w:highlight w:val="none"/>
                <w:u w:val="none"/>
                <w:vertAlign w:val="baseline"/>
                <w:lang w:val="en-US" w:eastAsia="zh-CN"/>
              </w:rPr>
              <w:t>提供残留药物处理</w:t>
            </w:r>
            <w:r>
              <w:rPr>
                <w:rFonts w:hint="eastAsia"/>
                <w:sz w:val="21"/>
                <w:szCs w:val="21"/>
                <w:highlight w:val="none"/>
                <w:u w:val="none"/>
                <w:vertAlign w:val="baseline"/>
                <w:lang w:val="en-US" w:eastAsia="zh-CN"/>
              </w:rPr>
              <w:t>单</w:t>
            </w:r>
            <w:r>
              <w:rPr>
                <w:rFonts w:hint="default"/>
                <w:sz w:val="21"/>
                <w:szCs w:val="21"/>
                <w:highlight w:val="none"/>
                <w:u w:val="none"/>
                <w:vertAlign w:val="baseline"/>
                <w:lang w:val="en-US" w:eastAsia="zh-CN"/>
              </w:rPr>
              <w:t>，每</w:t>
            </w:r>
            <w:r>
              <w:rPr>
                <w:rFonts w:hint="eastAsia"/>
                <w:sz w:val="21"/>
                <w:szCs w:val="21"/>
                <w:highlight w:val="none"/>
                <w:u w:val="none"/>
                <w:vertAlign w:val="baseline"/>
                <w:lang w:val="en-US" w:eastAsia="zh-CN"/>
              </w:rPr>
              <w:t>季度</w:t>
            </w:r>
            <w:r>
              <w:rPr>
                <w:rFonts w:hint="default"/>
                <w:sz w:val="21"/>
                <w:szCs w:val="21"/>
                <w:highlight w:val="none"/>
                <w:u w:val="none"/>
                <w:vertAlign w:val="baseline"/>
                <w:lang w:val="en-US" w:eastAsia="zh-CN"/>
              </w:rPr>
              <w:t>提供工作回顾报告和鼠虫害密度监测报告。</w:t>
            </w:r>
            <w:r>
              <w:rPr>
                <w:rFonts w:hint="eastAsia"/>
                <w:sz w:val="21"/>
                <w:szCs w:val="21"/>
                <w:highlight w:val="none"/>
                <w:u w:val="none"/>
                <w:vertAlign w:val="baseline"/>
                <w:lang w:val="en-US" w:eastAsia="zh-CN"/>
              </w:rPr>
              <w:t>未提供每次扣1分，</w:t>
            </w:r>
            <w:r>
              <w:rPr>
                <w:rFonts w:hint="eastAsia"/>
                <w:sz w:val="21"/>
                <w:szCs w:val="21"/>
                <w:highlight w:val="none"/>
                <w:lang w:val="en-US" w:eastAsia="zh-CN"/>
              </w:rPr>
              <w:t>扣完为止。</w:t>
            </w:r>
          </w:p>
        </w:tc>
        <w:tc>
          <w:tcPr>
            <w:tcW w:w="681" w:type="dxa"/>
            <w:vAlign w:val="center"/>
          </w:tcPr>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0" w:leftChars="0" w:right="0" w:rightChars="0" w:firstLine="0" w:firstLineChars="0"/>
              <w:jc w:val="center"/>
              <w:textAlignment w:val="auto"/>
              <w:rPr>
                <w:rFonts w:hint="default" w:ascii="宋体" w:hAnsi="宋体" w:eastAsia="宋体" w:cs="宋体"/>
                <w:sz w:val="21"/>
                <w:szCs w:val="21"/>
                <w:highlight w:val="none"/>
                <w:u w:val="none"/>
                <w:vertAlign w:val="baseline"/>
                <w:lang w:val="en-US" w:eastAsia="zh-CN" w:bidi="zh-CN"/>
              </w:rPr>
            </w:pPr>
            <w:r>
              <w:rPr>
                <w:rFonts w:hint="eastAsia"/>
                <w:sz w:val="21"/>
                <w:szCs w:val="21"/>
                <w:highlight w:val="none"/>
                <w:u w:val="none"/>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jc w:val="center"/>
              <w:textAlignment w:val="auto"/>
              <w:rPr>
                <w:rFonts w:hint="default"/>
                <w:sz w:val="21"/>
                <w:szCs w:val="21"/>
                <w:highlight w:val="none"/>
                <w:u w:val="none"/>
                <w:vertAlign w:val="baseline"/>
                <w:lang w:val="en-US" w:eastAsia="zh-CN"/>
              </w:rPr>
            </w:pPr>
            <w:r>
              <w:rPr>
                <w:rFonts w:hint="eastAsia"/>
                <w:sz w:val="21"/>
                <w:szCs w:val="21"/>
                <w:highlight w:val="none"/>
                <w:u w:val="none"/>
                <w:vertAlign w:val="baseline"/>
                <w:lang w:val="en-US" w:eastAsia="zh-CN"/>
              </w:rPr>
              <w:t>3</w:t>
            </w:r>
          </w:p>
        </w:tc>
        <w:tc>
          <w:tcPr>
            <w:tcW w:w="7590" w:type="dxa"/>
            <w:vAlign w:val="center"/>
          </w:tcPr>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jc w:val="both"/>
              <w:textAlignment w:val="auto"/>
              <w:rPr>
                <w:rFonts w:hint="default"/>
                <w:sz w:val="21"/>
                <w:szCs w:val="21"/>
                <w:highlight w:val="none"/>
                <w:u w:val="none"/>
                <w:vertAlign w:val="baseline"/>
                <w:lang w:val="en-US" w:eastAsia="zh-CN"/>
              </w:rPr>
            </w:pPr>
            <w:r>
              <w:rPr>
                <w:rFonts w:hint="default"/>
                <w:sz w:val="21"/>
                <w:szCs w:val="21"/>
                <w:highlight w:val="none"/>
                <w:u w:val="none"/>
                <w:vertAlign w:val="baseline"/>
                <w:lang w:val="en-US" w:eastAsia="zh-CN"/>
              </w:rPr>
              <w:t>使用常量喷洒、超低喷雾、热烟雾等消杀</w:t>
            </w:r>
            <w:r>
              <w:rPr>
                <w:rFonts w:hint="eastAsia"/>
                <w:sz w:val="21"/>
                <w:szCs w:val="21"/>
                <w:highlight w:val="none"/>
                <w:u w:val="none"/>
                <w:vertAlign w:val="baseline"/>
                <w:lang w:val="en-US" w:eastAsia="zh-CN"/>
              </w:rPr>
              <w:t>虫害</w:t>
            </w:r>
            <w:r>
              <w:rPr>
                <w:rFonts w:hint="default"/>
                <w:sz w:val="21"/>
                <w:szCs w:val="21"/>
                <w:highlight w:val="none"/>
                <w:u w:val="none"/>
                <w:vertAlign w:val="baseline"/>
                <w:lang w:val="en-US" w:eastAsia="zh-CN"/>
              </w:rPr>
              <w:t>时，须</w:t>
            </w:r>
            <w:r>
              <w:rPr>
                <w:rFonts w:hint="eastAsia"/>
                <w:sz w:val="21"/>
                <w:szCs w:val="21"/>
                <w:highlight w:val="none"/>
                <w:u w:val="none"/>
                <w:vertAlign w:val="baseline"/>
                <w:lang w:val="en-US" w:eastAsia="zh-CN"/>
              </w:rPr>
              <w:t>和院方沟通确认后再进行虫害消杀。未沟通每次扣1分，</w:t>
            </w:r>
            <w:r>
              <w:rPr>
                <w:rFonts w:hint="eastAsia"/>
                <w:sz w:val="21"/>
                <w:szCs w:val="21"/>
                <w:highlight w:val="none"/>
                <w:lang w:val="en-US" w:eastAsia="zh-CN"/>
              </w:rPr>
              <w:t>扣完为止。</w:t>
            </w:r>
          </w:p>
        </w:tc>
        <w:tc>
          <w:tcPr>
            <w:tcW w:w="681" w:type="dxa"/>
            <w:vAlign w:val="center"/>
          </w:tcPr>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0" w:leftChars="0" w:right="0" w:rightChars="0" w:firstLine="0" w:firstLineChars="0"/>
              <w:jc w:val="center"/>
              <w:textAlignment w:val="auto"/>
              <w:rPr>
                <w:rFonts w:hint="default" w:ascii="宋体" w:hAnsi="宋体" w:eastAsia="宋体" w:cs="宋体"/>
                <w:sz w:val="21"/>
                <w:szCs w:val="21"/>
                <w:highlight w:val="none"/>
                <w:u w:val="none"/>
                <w:vertAlign w:val="baseline"/>
                <w:lang w:val="en-US" w:eastAsia="zh-CN" w:bidi="zh-CN"/>
              </w:rPr>
            </w:pPr>
            <w:r>
              <w:rPr>
                <w:rFonts w:hint="eastAsia" w:cs="宋体"/>
                <w:sz w:val="21"/>
                <w:szCs w:val="21"/>
                <w:highlight w:val="none"/>
                <w:u w:val="none"/>
                <w:vertAlign w:val="baseline"/>
                <w:lang w:val="en-US" w:eastAsia="zh-CN" w:bidi="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jc w:val="center"/>
              <w:textAlignment w:val="auto"/>
              <w:rPr>
                <w:rFonts w:hint="default"/>
                <w:sz w:val="21"/>
                <w:szCs w:val="21"/>
                <w:highlight w:val="none"/>
                <w:u w:val="none"/>
                <w:vertAlign w:val="baseline"/>
                <w:lang w:val="en-US" w:eastAsia="zh-CN"/>
              </w:rPr>
            </w:pPr>
            <w:r>
              <w:rPr>
                <w:rFonts w:hint="eastAsia"/>
                <w:sz w:val="21"/>
                <w:szCs w:val="21"/>
                <w:highlight w:val="none"/>
                <w:u w:val="none"/>
                <w:vertAlign w:val="baseline"/>
                <w:lang w:val="en-US" w:eastAsia="zh-CN"/>
              </w:rPr>
              <w:t>4</w:t>
            </w:r>
          </w:p>
        </w:tc>
        <w:tc>
          <w:tcPr>
            <w:tcW w:w="7590" w:type="dxa"/>
            <w:vAlign w:val="center"/>
          </w:tcPr>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jc w:val="both"/>
              <w:textAlignment w:val="auto"/>
              <w:rPr>
                <w:rFonts w:hint="default"/>
                <w:sz w:val="21"/>
                <w:szCs w:val="21"/>
                <w:highlight w:val="none"/>
                <w:u w:val="none"/>
                <w:vertAlign w:val="baseline"/>
                <w:lang w:val="en-US" w:eastAsia="zh-CN"/>
              </w:rPr>
            </w:pPr>
            <w:r>
              <w:rPr>
                <w:rFonts w:hint="default"/>
                <w:sz w:val="21"/>
                <w:szCs w:val="21"/>
                <w:highlight w:val="none"/>
                <w:u w:val="none"/>
                <w:vertAlign w:val="baseline"/>
                <w:lang w:val="en-US" w:eastAsia="zh-CN"/>
              </w:rPr>
              <w:t>外围灭鼠药投放，</w:t>
            </w:r>
            <w:r>
              <w:rPr>
                <w:rFonts w:hint="eastAsia"/>
                <w:sz w:val="21"/>
                <w:szCs w:val="21"/>
                <w:highlight w:val="none"/>
                <w:u w:val="none"/>
                <w:vertAlign w:val="baseline"/>
                <w:lang w:val="en-US" w:eastAsia="zh-CN"/>
              </w:rPr>
              <w:t>鼠类入侵高风险区域（例如：绿化带、垃圾暂存点、医疗废物暂存点、卫生间、下水道、设备房、机房、地下室、食堂等区域）</w:t>
            </w:r>
            <w:r>
              <w:rPr>
                <w:rFonts w:hint="default"/>
                <w:sz w:val="21"/>
                <w:szCs w:val="21"/>
                <w:highlight w:val="none"/>
                <w:u w:val="none"/>
                <w:vertAlign w:val="baseline"/>
                <w:lang w:val="en-US" w:eastAsia="zh-CN"/>
              </w:rPr>
              <w:t>每15米设置一处鼠药投放点</w:t>
            </w:r>
            <w:r>
              <w:rPr>
                <w:rFonts w:hint="eastAsia"/>
                <w:sz w:val="21"/>
                <w:szCs w:val="21"/>
                <w:highlight w:val="none"/>
                <w:u w:val="none"/>
                <w:vertAlign w:val="baseline"/>
                <w:lang w:val="en-US" w:eastAsia="zh-CN"/>
              </w:rPr>
              <w:t>（</w:t>
            </w:r>
            <w:r>
              <w:rPr>
                <w:rFonts w:hint="default"/>
                <w:sz w:val="21"/>
                <w:szCs w:val="21"/>
                <w:highlight w:val="none"/>
                <w:u w:val="none"/>
                <w:vertAlign w:val="baseline"/>
                <w:lang w:val="en-US" w:eastAsia="zh-CN"/>
              </w:rPr>
              <w:t>带锁鼠药盒</w:t>
            </w:r>
            <w:r>
              <w:rPr>
                <w:rFonts w:hint="eastAsia"/>
                <w:sz w:val="21"/>
                <w:szCs w:val="21"/>
                <w:highlight w:val="none"/>
                <w:u w:val="none"/>
                <w:vertAlign w:val="baseline"/>
                <w:lang w:val="en-US" w:eastAsia="zh-CN"/>
              </w:rPr>
              <w:t>）；低风险区域每30米设置一处鼠药投放点（</w:t>
            </w:r>
            <w:r>
              <w:rPr>
                <w:rFonts w:hint="default"/>
                <w:sz w:val="21"/>
                <w:szCs w:val="21"/>
                <w:highlight w:val="none"/>
                <w:u w:val="none"/>
                <w:vertAlign w:val="baseline"/>
                <w:lang w:val="en-US" w:eastAsia="zh-CN"/>
              </w:rPr>
              <w:t>带锁鼠药盒</w:t>
            </w:r>
            <w:r>
              <w:rPr>
                <w:rFonts w:hint="eastAsia"/>
                <w:sz w:val="21"/>
                <w:szCs w:val="21"/>
                <w:highlight w:val="none"/>
                <w:u w:val="none"/>
                <w:vertAlign w:val="baseline"/>
                <w:lang w:val="en-US" w:eastAsia="zh-CN"/>
              </w:rPr>
              <w:t>）</w:t>
            </w:r>
            <w:r>
              <w:rPr>
                <w:rFonts w:hint="default"/>
                <w:sz w:val="21"/>
                <w:szCs w:val="21"/>
                <w:highlight w:val="none"/>
                <w:u w:val="none"/>
                <w:vertAlign w:val="baseline"/>
                <w:lang w:val="en-US" w:eastAsia="zh-CN"/>
              </w:rPr>
              <w:t>，</w:t>
            </w:r>
            <w:r>
              <w:rPr>
                <w:rFonts w:hint="eastAsia"/>
                <w:sz w:val="21"/>
                <w:szCs w:val="21"/>
                <w:highlight w:val="none"/>
                <w:u w:val="none"/>
                <w:vertAlign w:val="baseline"/>
                <w:lang w:val="en-US" w:eastAsia="zh-CN"/>
              </w:rPr>
              <w:t>每个点位投放鼠药25-40克，</w:t>
            </w:r>
            <w:r>
              <w:rPr>
                <w:rFonts w:hint="default"/>
                <w:sz w:val="21"/>
                <w:szCs w:val="21"/>
                <w:highlight w:val="none"/>
                <w:u w:val="none"/>
                <w:vertAlign w:val="baseline"/>
                <w:lang w:val="en-US" w:eastAsia="zh-CN"/>
              </w:rPr>
              <w:t>药物不能发霉、变质或溢出，每次记录药物取食量，每个投放点要设置</w:t>
            </w:r>
            <w:r>
              <w:rPr>
                <w:rFonts w:hint="eastAsia"/>
                <w:sz w:val="21"/>
                <w:szCs w:val="21"/>
                <w:highlight w:val="none"/>
                <w:u w:val="none"/>
                <w:vertAlign w:val="baseline"/>
                <w:lang w:val="en-US" w:eastAsia="zh-CN"/>
              </w:rPr>
              <w:t>警示</w:t>
            </w:r>
            <w:r>
              <w:rPr>
                <w:rFonts w:hint="default"/>
                <w:sz w:val="21"/>
                <w:szCs w:val="21"/>
                <w:highlight w:val="none"/>
                <w:u w:val="none"/>
                <w:vertAlign w:val="baseline"/>
                <w:lang w:val="en-US" w:eastAsia="zh-CN"/>
              </w:rPr>
              <w:t>标识和编号。室内用粘鼠板、捕鼠笼</w:t>
            </w:r>
            <w:r>
              <w:rPr>
                <w:rFonts w:hint="eastAsia"/>
                <w:sz w:val="21"/>
                <w:szCs w:val="21"/>
                <w:highlight w:val="none"/>
                <w:u w:val="none"/>
                <w:vertAlign w:val="baseline"/>
                <w:lang w:val="en-US" w:eastAsia="zh-CN"/>
              </w:rPr>
              <w:t>、驱鼠器、诱捕器</w:t>
            </w:r>
            <w:r>
              <w:rPr>
                <w:rFonts w:hint="default"/>
                <w:sz w:val="21"/>
                <w:szCs w:val="21"/>
                <w:highlight w:val="none"/>
                <w:u w:val="none"/>
                <w:vertAlign w:val="baseline"/>
                <w:lang w:val="en-US" w:eastAsia="zh-CN"/>
              </w:rPr>
              <w:t>等物理方式防治，每15平方米设置</w:t>
            </w:r>
            <w:r>
              <w:rPr>
                <w:rFonts w:hint="eastAsia"/>
                <w:sz w:val="21"/>
                <w:szCs w:val="21"/>
                <w:highlight w:val="none"/>
                <w:u w:val="none"/>
                <w:vertAlign w:val="baseline"/>
                <w:lang w:val="en-US" w:eastAsia="zh-CN"/>
              </w:rPr>
              <w:t>两</w:t>
            </w:r>
            <w:r>
              <w:rPr>
                <w:rFonts w:hint="default"/>
                <w:sz w:val="21"/>
                <w:szCs w:val="21"/>
                <w:highlight w:val="none"/>
                <w:u w:val="none"/>
                <w:vertAlign w:val="baseline"/>
                <w:lang w:val="en-US" w:eastAsia="zh-CN"/>
              </w:rPr>
              <w:t>处防治点，并做好标识和编号。</w:t>
            </w:r>
            <w:r>
              <w:rPr>
                <w:rFonts w:hint="eastAsia"/>
                <w:sz w:val="21"/>
                <w:szCs w:val="21"/>
                <w:highlight w:val="none"/>
                <w:u w:val="none"/>
                <w:vertAlign w:val="baseline"/>
                <w:lang w:val="en-US" w:eastAsia="zh-CN"/>
              </w:rPr>
              <w:t>未按要求每次扣1分，</w:t>
            </w:r>
            <w:r>
              <w:rPr>
                <w:rFonts w:hint="eastAsia"/>
                <w:sz w:val="21"/>
                <w:szCs w:val="21"/>
                <w:highlight w:val="none"/>
                <w:lang w:val="en-US" w:eastAsia="zh-CN"/>
              </w:rPr>
              <w:t>扣完为止。</w:t>
            </w:r>
          </w:p>
        </w:tc>
        <w:tc>
          <w:tcPr>
            <w:tcW w:w="681" w:type="dxa"/>
            <w:vAlign w:val="center"/>
          </w:tcPr>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0" w:leftChars="0" w:right="0" w:rightChars="0" w:firstLine="0" w:firstLineChars="0"/>
              <w:jc w:val="center"/>
              <w:textAlignment w:val="auto"/>
              <w:rPr>
                <w:rFonts w:hint="default" w:ascii="宋体" w:hAnsi="宋体" w:eastAsia="宋体" w:cs="宋体"/>
                <w:sz w:val="21"/>
                <w:szCs w:val="21"/>
                <w:highlight w:val="none"/>
                <w:u w:val="none"/>
                <w:vertAlign w:val="baseline"/>
                <w:lang w:val="en-US" w:eastAsia="zh-CN" w:bidi="zh-CN"/>
              </w:rPr>
            </w:pPr>
            <w:r>
              <w:rPr>
                <w:rFonts w:hint="eastAsia" w:cs="宋体"/>
                <w:sz w:val="21"/>
                <w:szCs w:val="21"/>
                <w:highlight w:val="none"/>
                <w:u w:val="none"/>
                <w:vertAlign w:val="baseline"/>
                <w:lang w:val="en-US" w:eastAsia="zh-CN" w:bidi="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jc w:val="center"/>
              <w:textAlignment w:val="auto"/>
              <w:rPr>
                <w:rFonts w:hint="default"/>
                <w:sz w:val="21"/>
                <w:szCs w:val="21"/>
                <w:highlight w:val="none"/>
                <w:u w:val="none"/>
                <w:vertAlign w:val="baseline"/>
                <w:lang w:val="en-US" w:eastAsia="zh-CN"/>
              </w:rPr>
            </w:pPr>
            <w:r>
              <w:rPr>
                <w:rFonts w:hint="eastAsia"/>
                <w:sz w:val="21"/>
                <w:szCs w:val="21"/>
                <w:highlight w:val="none"/>
                <w:u w:val="none"/>
                <w:vertAlign w:val="baseline"/>
                <w:lang w:val="en-US" w:eastAsia="zh-CN"/>
              </w:rPr>
              <w:t>5</w:t>
            </w:r>
          </w:p>
        </w:tc>
        <w:tc>
          <w:tcPr>
            <w:tcW w:w="7590" w:type="dxa"/>
            <w:vAlign w:val="center"/>
          </w:tcPr>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jc w:val="both"/>
              <w:textAlignment w:val="auto"/>
              <w:rPr>
                <w:rFonts w:hint="default"/>
                <w:sz w:val="21"/>
                <w:szCs w:val="21"/>
                <w:highlight w:val="none"/>
                <w:u w:val="none"/>
                <w:vertAlign w:val="baseline"/>
                <w:lang w:val="en-US" w:eastAsia="zh-CN"/>
              </w:rPr>
            </w:pPr>
            <w:r>
              <w:rPr>
                <w:rFonts w:hint="default"/>
                <w:sz w:val="21"/>
                <w:szCs w:val="21"/>
                <w:highlight w:val="none"/>
                <w:u w:val="none"/>
                <w:vertAlign w:val="baseline"/>
                <w:lang w:val="en-US" w:eastAsia="zh-CN"/>
              </w:rPr>
              <w:t>病房、护士站、抢救室、手术室、食堂等区域用蟑螂诱捕器、蟑螂屋等物理方式防治，每</w:t>
            </w:r>
            <w:r>
              <w:rPr>
                <w:rFonts w:hint="eastAsia"/>
                <w:sz w:val="21"/>
                <w:szCs w:val="21"/>
                <w:highlight w:val="none"/>
                <w:u w:val="none"/>
                <w:vertAlign w:val="baseline"/>
                <w:lang w:val="en-US" w:eastAsia="zh-CN"/>
              </w:rPr>
              <w:t>8</w:t>
            </w:r>
            <w:r>
              <w:rPr>
                <w:rFonts w:hint="default"/>
                <w:sz w:val="21"/>
                <w:szCs w:val="21"/>
                <w:highlight w:val="none"/>
                <w:u w:val="none"/>
                <w:vertAlign w:val="baseline"/>
                <w:lang w:val="en-US" w:eastAsia="zh-CN"/>
              </w:rPr>
              <w:t>平方米设置一处防治点。</w:t>
            </w:r>
            <w:r>
              <w:rPr>
                <w:rFonts w:hint="eastAsia"/>
                <w:sz w:val="21"/>
                <w:szCs w:val="21"/>
                <w:highlight w:val="none"/>
                <w:u w:val="none"/>
                <w:vertAlign w:val="baseline"/>
                <w:lang w:val="en-US" w:eastAsia="zh-CN"/>
              </w:rPr>
              <w:t>未按要求每次扣1分，</w:t>
            </w:r>
            <w:r>
              <w:rPr>
                <w:rFonts w:hint="eastAsia"/>
                <w:sz w:val="21"/>
                <w:szCs w:val="21"/>
                <w:highlight w:val="none"/>
                <w:lang w:val="en-US" w:eastAsia="zh-CN"/>
              </w:rPr>
              <w:t>扣完为止。</w:t>
            </w:r>
            <w:r>
              <w:rPr>
                <w:rFonts w:hint="eastAsia"/>
                <w:sz w:val="21"/>
                <w:szCs w:val="21"/>
                <w:highlight w:val="none"/>
                <w:u w:val="none"/>
                <w:vertAlign w:val="baseline"/>
                <w:lang w:val="en-US" w:eastAsia="zh-CN"/>
              </w:rPr>
              <w:t>未按要求每次扣1分，</w:t>
            </w:r>
            <w:r>
              <w:rPr>
                <w:rFonts w:hint="eastAsia"/>
                <w:sz w:val="21"/>
                <w:szCs w:val="21"/>
                <w:highlight w:val="none"/>
                <w:lang w:val="en-US" w:eastAsia="zh-CN"/>
              </w:rPr>
              <w:t>扣完为止。</w:t>
            </w:r>
          </w:p>
        </w:tc>
        <w:tc>
          <w:tcPr>
            <w:tcW w:w="681" w:type="dxa"/>
            <w:vAlign w:val="center"/>
          </w:tcPr>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0" w:leftChars="0" w:right="0" w:rightChars="0" w:firstLine="0" w:firstLineChars="0"/>
              <w:jc w:val="center"/>
              <w:textAlignment w:val="auto"/>
              <w:rPr>
                <w:rFonts w:hint="default" w:ascii="宋体" w:hAnsi="宋体" w:eastAsia="宋体" w:cs="宋体"/>
                <w:sz w:val="21"/>
                <w:szCs w:val="21"/>
                <w:highlight w:val="none"/>
                <w:u w:val="none"/>
                <w:vertAlign w:val="baseline"/>
                <w:lang w:val="en-US" w:eastAsia="zh-CN" w:bidi="zh-CN"/>
              </w:rPr>
            </w:pPr>
            <w:r>
              <w:rPr>
                <w:rFonts w:hint="eastAsia" w:cs="宋体"/>
                <w:sz w:val="21"/>
                <w:szCs w:val="21"/>
                <w:highlight w:val="none"/>
                <w:u w:val="none"/>
                <w:vertAlign w:val="baseline"/>
                <w:lang w:val="en-US" w:eastAsia="zh-CN" w:bidi="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jc w:val="center"/>
              <w:textAlignment w:val="auto"/>
              <w:rPr>
                <w:rFonts w:hint="default"/>
                <w:sz w:val="21"/>
                <w:szCs w:val="21"/>
                <w:highlight w:val="none"/>
                <w:u w:val="none"/>
                <w:vertAlign w:val="baseline"/>
                <w:lang w:val="en-US" w:eastAsia="zh-CN"/>
              </w:rPr>
            </w:pPr>
            <w:r>
              <w:rPr>
                <w:rFonts w:hint="eastAsia"/>
                <w:sz w:val="21"/>
                <w:szCs w:val="21"/>
                <w:highlight w:val="none"/>
                <w:u w:val="none"/>
                <w:vertAlign w:val="baseline"/>
                <w:lang w:val="en-US" w:eastAsia="zh-CN"/>
              </w:rPr>
              <w:t>6</w:t>
            </w:r>
          </w:p>
        </w:tc>
        <w:tc>
          <w:tcPr>
            <w:tcW w:w="7590" w:type="dxa"/>
            <w:vAlign w:val="center"/>
          </w:tcPr>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jc w:val="both"/>
              <w:textAlignment w:val="auto"/>
              <w:rPr>
                <w:rFonts w:hint="default"/>
                <w:sz w:val="21"/>
                <w:szCs w:val="21"/>
                <w:highlight w:val="none"/>
                <w:u w:val="none"/>
                <w:vertAlign w:val="baseline"/>
                <w:lang w:val="en-US" w:eastAsia="zh-CN"/>
              </w:rPr>
            </w:pPr>
            <w:r>
              <w:rPr>
                <w:rFonts w:hint="default"/>
                <w:sz w:val="21"/>
                <w:szCs w:val="21"/>
                <w:highlight w:val="none"/>
                <w:u w:val="none"/>
                <w:vertAlign w:val="baseline"/>
                <w:lang w:val="en-US" w:eastAsia="zh-CN"/>
              </w:rPr>
              <w:t>室外绿化区域</w:t>
            </w:r>
            <w:r>
              <w:rPr>
                <w:rFonts w:hint="eastAsia"/>
                <w:sz w:val="21"/>
                <w:szCs w:val="21"/>
                <w:highlight w:val="none"/>
                <w:u w:val="none"/>
                <w:vertAlign w:val="baseline"/>
                <w:lang w:val="en-US" w:eastAsia="zh-CN"/>
              </w:rPr>
              <w:t>、垃圾暂存点、医疗废物暂存点、卫生间、下水道、</w:t>
            </w:r>
            <w:r>
              <w:rPr>
                <w:rFonts w:hint="default"/>
                <w:sz w:val="21"/>
                <w:szCs w:val="21"/>
                <w:highlight w:val="none"/>
                <w:u w:val="none"/>
                <w:vertAlign w:val="baseline"/>
                <w:lang w:val="en-US" w:eastAsia="zh-CN"/>
              </w:rPr>
              <w:t>使用常量喷雾、热烟雾等</w:t>
            </w:r>
            <w:r>
              <w:rPr>
                <w:rFonts w:hint="eastAsia"/>
                <w:sz w:val="21"/>
                <w:szCs w:val="21"/>
                <w:highlight w:val="none"/>
                <w:u w:val="none"/>
                <w:vertAlign w:val="baseline"/>
                <w:lang w:val="en-US" w:eastAsia="zh-CN"/>
              </w:rPr>
              <w:t>消杀方式</w:t>
            </w:r>
            <w:r>
              <w:rPr>
                <w:rFonts w:hint="default"/>
                <w:sz w:val="21"/>
                <w:szCs w:val="21"/>
                <w:highlight w:val="none"/>
                <w:u w:val="none"/>
                <w:vertAlign w:val="baseline"/>
                <w:lang w:val="en-US" w:eastAsia="zh-CN"/>
              </w:rPr>
              <w:t>，每15天进行一次虫害消杀。</w:t>
            </w:r>
            <w:r>
              <w:rPr>
                <w:rFonts w:hint="eastAsia"/>
                <w:sz w:val="21"/>
                <w:szCs w:val="21"/>
                <w:highlight w:val="none"/>
                <w:u w:val="none"/>
                <w:vertAlign w:val="baseline"/>
                <w:lang w:val="en-US" w:eastAsia="zh-CN"/>
              </w:rPr>
              <w:t>未按要求每次扣1分，</w:t>
            </w:r>
            <w:r>
              <w:rPr>
                <w:rFonts w:hint="eastAsia"/>
                <w:sz w:val="21"/>
                <w:szCs w:val="21"/>
                <w:highlight w:val="none"/>
                <w:lang w:val="en-US" w:eastAsia="zh-CN"/>
              </w:rPr>
              <w:t>扣完为止。</w:t>
            </w:r>
          </w:p>
        </w:tc>
        <w:tc>
          <w:tcPr>
            <w:tcW w:w="681" w:type="dxa"/>
            <w:vAlign w:val="center"/>
          </w:tcPr>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0" w:leftChars="0" w:right="0" w:rightChars="0" w:firstLine="0" w:firstLineChars="0"/>
              <w:jc w:val="center"/>
              <w:textAlignment w:val="auto"/>
              <w:rPr>
                <w:rFonts w:hint="default" w:ascii="宋体" w:hAnsi="宋体" w:eastAsia="宋体" w:cs="宋体"/>
                <w:sz w:val="21"/>
                <w:szCs w:val="21"/>
                <w:highlight w:val="none"/>
                <w:u w:val="none"/>
                <w:vertAlign w:val="baseline"/>
                <w:lang w:val="en-US" w:eastAsia="zh-CN" w:bidi="zh-CN"/>
              </w:rPr>
            </w:pPr>
            <w:r>
              <w:rPr>
                <w:rFonts w:hint="eastAsia" w:cs="宋体"/>
                <w:sz w:val="21"/>
                <w:szCs w:val="21"/>
                <w:highlight w:val="none"/>
                <w:u w:val="none"/>
                <w:vertAlign w:val="baseline"/>
                <w:lang w:val="en-US" w:eastAsia="zh-CN" w:bidi="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jc w:val="center"/>
              <w:textAlignment w:val="auto"/>
              <w:rPr>
                <w:rFonts w:hint="default"/>
                <w:sz w:val="21"/>
                <w:szCs w:val="21"/>
                <w:highlight w:val="none"/>
                <w:u w:val="none"/>
                <w:vertAlign w:val="baseline"/>
                <w:lang w:val="en-US" w:eastAsia="zh-CN"/>
              </w:rPr>
            </w:pPr>
            <w:r>
              <w:rPr>
                <w:rFonts w:hint="eastAsia"/>
                <w:sz w:val="21"/>
                <w:szCs w:val="21"/>
                <w:highlight w:val="none"/>
                <w:u w:val="none"/>
                <w:vertAlign w:val="baseline"/>
                <w:lang w:val="en-US" w:eastAsia="zh-CN"/>
              </w:rPr>
              <w:t>7</w:t>
            </w:r>
          </w:p>
        </w:tc>
        <w:tc>
          <w:tcPr>
            <w:tcW w:w="7590" w:type="dxa"/>
            <w:vAlign w:val="center"/>
          </w:tcPr>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jc w:val="both"/>
              <w:textAlignment w:val="auto"/>
              <w:rPr>
                <w:rFonts w:hint="default"/>
                <w:sz w:val="21"/>
                <w:szCs w:val="21"/>
                <w:highlight w:val="none"/>
                <w:u w:val="none"/>
                <w:vertAlign w:val="baseline"/>
                <w:lang w:val="en-US" w:eastAsia="zh-CN"/>
              </w:rPr>
            </w:pPr>
            <w:r>
              <w:rPr>
                <w:rFonts w:hint="default"/>
                <w:sz w:val="21"/>
                <w:szCs w:val="21"/>
                <w:highlight w:val="none"/>
                <w:u w:val="none"/>
                <w:vertAlign w:val="baseline"/>
                <w:lang w:val="en-US" w:eastAsia="zh-CN"/>
              </w:rPr>
              <w:t>雨水井、污水井等使用热烟雾</w:t>
            </w:r>
            <w:r>
              <w:rPr>
                <w:rFonts w:hint="eastAsia"/>
                <w:sz w:val="21"/>
                <w:szCs w:val="21"/>
                <w:highlight w:val="none"/>
                <w:u w:val="none"/>
                <w:vertAlign w:val="baseline"/>
                <w:lang w:val="en-US" w:eastAsia="zh-CN"/>
              </w:rPr>
              <w:t>消杀方式</w:t>
            </w:r>
            <w:r>
              <w:rPr>
                <w:rFonts w:hint="default"/>
                <w:sz w:val="21"/>
                <w:szCs w:val="21"/>
                <w:highlight w:val="none"/>
                <w:u w:val="none"/>
                <w:vertAlign w:val="baseline"/>
                <w:lang w:val="en-US" w:eastAsia="zh-CN"/>
              </w:rPr>
              <w:t>，每15天进行一次虫害消杀。</w:t>
            </w:r>
            <w:r>
              <w:rPr>
                <w:rFonts w:hint="eastAsia"/>
                <w:sz w:val="21"/>
                <w:szCs w:val="21"/>
                <w:highlight w:val="none"/>
                <w:u w:val="none"/>
                <w:vertAlign w:val="baseline"/>
                <w:lang w:val="en-US" w:eastAsia="zh-CN"/>
              </w:rPr>
              <w:t>未按要求每次扣1分，</w:t>
            </w:r>
            <w:r>
              <w:rPr>
                <w:rFonts w:hint="eastAsia"/>
                <w:sz w:val="21"/>
                <w:szCs w:val="21"/>
                <w:highlight w:val="none"/>
                <w:lang w:val="en-US" w:eastAsia="zh-CN"/>
              </w:rPr>
              <w:t>扣完为止。</w:t>
            </w:r>
          </w:p>
        </w:tc>
        <w:tc>
          <w:tcPr>
            <w:tcW w:w="681" w:type="dxa"/>
            <w:vAlign w:val="center"/>
          </w:tcPr>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0" w:leftChars="0" w:right="0" w:rightChars="0" w:firstLine="0" w:firstLineChars="0"/>
              <w:jc w:val="center"/>
              <w:textAlignment w:val="auto"/>
              <w:rPr>
                <w:rFonts w:hint="default" w:ascii="宋体" w:hAnsi="宋体" w:eastAsia="宋体" w:cs="宋体"/>
                <w:sz w:val="21"/>
                <w:szCs w:val="21"/>
                <w:highlight w:val="none"/>
                <w:u w:val="none"/>
                <w:vertAlign w:val="baseline"/>
                <w:lang w:val="en-US" w:eastAsia="zh-CN" w:bidi="zh-CN"/>
              </w:rPr>
            </w:pPr>
            <w:r>
              <w:rPr>
                <w:rFonts w:hint="eastAsia" w:cs="宋体"/>
                <w:sz w:val="21"/>
                <w:szCs w:val="21"/>
                <w:highlight w:val="none"/>
                <w:u w:val="none"/>
                <w:vertAlign w:val="baseline"/>
                <w:lang w:val="en-US" w:eastAsia="zh-CN" w:bidi="zh-CN"/>
              </w:rPr>
              <w:t>10</w:t>
            </w:r>
          </w:p>
        </w:tc>
      </w:tr>
    </w:tbl>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Chars="200" w:right="0" w:rightChars="0"/>
        <w:jc w:val="both"/>
        <w:textAlignment w:val="auto"/>
        <w:rPr>
          <w:rFonts w:hint="default" w:ascii="仿宋_GB2312" w:hAnsi="仿宋_GB2312" w:eastAsia="仿宋_GB2312" w:cs="仿宋_GB2312"/>
          <w:sz w:val="28"/>
          <w:szCs w:val="28"/>
          <w:highlight w:val="none"/>
          <w:lang w:val="en-US" w:eastAsia="zh-CN"/>
        </w:rPr>
      </w:pPr>
      <w:r>
        <w:rPr>
          <w:rFonts w:hint="eastAsia"/>
          <w:sz w:val="28"/>
          <w:szCs w:val="28"/>
          <w:highlight w:val="none"/>
          <w:lang w:val="en-US" w:eastAsia="zh-CN"/>
        </w:rPr>
        <w:t>注：</w:t>
      </w:r>
      <w:r>
        <w:rPr>
          <w:rFonts w:hint="eastAsia"/>
          <w:b/>
          <w:bCs/>
          <w:sz w:val="24"/>
          <w:szCs w:val="24"/>
          <w:highlight w:val="none"/>
          <w:u w:val="none"/>
          <w:lang w:val="en-US" w:eastAsia="zh-CN"/>
        </w:rPr>
        <w:t>80分（含）以上为合格</w:t>
      </w:r>
    </w:p>
    <w:p>
      <w:pPr>
        <w:rPr>
          <w:rFonts w:hint="eastAsia"/>
          <w:sz w:val="28"/>
          <w:szCs w:val="28"/>
          <w:highlight w:val="none"/>
          <w:lang w:val="en-US" w:eastAsia="zh-CN"/>
        </w:rPr>
      </w:pPr>
    </w:p>
    <w:p>
      <w:pPr>
        <w:rPr>
          <w:rFonts w:hint="eastAsia"/>
          <w:sz w:val="28"/>
          <w:szCs w:val="28"/>
          <w:highlight w:val="none"/>
          <w:lang w:val="en-US" w:eastAsia="zh-CN"/>
        </w:rPr>
      </w:pPr>
      <w:r>
        <w:rPr>
          <w:rFonts w:hint="eastAsia"/>
          <w:sz w:val="28"/>
          <w:szCs w:val="28"/>
          <w:highlight w:val="none"/>
          <w:lang w:val="en-US" w:eastAsia="zh-CN"/>
        </w:rPr>
        <w:t>附件3：</w:t>
      </w:r>
    </w:p>
    <w:p>
      <w:pPr>
        <w:jc w:val="center"/>
        <w:rPr>
          <w:rFonts w:hint="default"/>
          <w:sz w:val="28"/>
          <w:szCs w:val="28"/>
          <w:highlight w:val="none"/>
          <w:lang w:val="en-US" w:eastAsia="zh-CN"/>
        </w:rPr>
      </w:pPr>
      <w:r>
        <w:rPr>
          <w:rFonts w:hint="eastAsia"/>
          <w:sz w:val="28"/>
          <w:szCs w:val="28"/>
          <w:highlight w:val="none"/>
          <w:lang w:val="en-US" w:eastAsia="zh-CN"/>
        </w:rPr>
        <w:t>评分细则</w:t>
      </w:r>
    </w:p>
    <w:tbl>
      <w:tblPr>
        <w:tblStyle w:val="20"/>
        <w:tblpPr w:leftFromText="180" w:rightFromText="180" w:vertAnchor="text" w:horzAnchor="page" w:tblpX="870" w:tblpY="321"/>
        <w:tblOverlap w:val="never"/>
        <w:tblW w:w="10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750"/>
        <w:gridCol w:w="720"/>
        <w:gridCol w:w="1035"/>
        <w:gridCol w:w="4805"/>
        <w:gridCol w:w="2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597"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序号</w:t>
            </w:r>
          </w:p>
        </w:tc>
        <w:tc>
          <w:tcPr>
            <w:tcW w:w="750" w:type="dxa"/>
            <w:tcBorders>
              <w:top w:val="single" w:color="auto" w:sz="4" w:space="0"/>
              <w:left w:val="single" w:color="auto" w:sz="4" w:space="0"/>
              <w:bottom w:val="single" w:color="auto" w:sz="4" w:space="0"/>
              <w:right w:val="single" w:color="auto" w:sz="4" w:space="0"/>
            </w:tcBorders>
            <w:noWrap w:val="0"/>
            <w:vAlign w:val="center"/>
          </w:tcPr>
          <w:p>
            <w:pPr>
              <w:ind w:firstLine="28"/>
              <w:contextualSpacing/>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评分因素及权重</w:t>
            </w:r>
          </w:p>
        </w:tc>
        <w:tc>
          <w:tcPr>
            <w:tcW w:w="720"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eastAsia" w:asciiTheme="minorEastAsia" w:hAnsiTheme="minorEastAsia" w:eastAsiaTheme="minorEastAsia" w:cstheme="minorEastAsia"/>
                <w:b/>
                <w:bCs/>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分值</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内容</w:t>
            </w:r>
          </w:p>
        </w:tc>
        <w:tc>
          <w:tcPr>
            <w:tcW w:w="4805"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评分标准</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right="21" w:rightChars="10"/>
              <w:jc w:val="cente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597" w:type="dxa"/>
            <w:tcBorders>
              <w:top w:val="single" w:color="auto" w:sz="4" w:space="0"/>
              <w:left w:val="single" w:color="auto" w:sz="4" w:space="0"/>
              <w:right w:val="single" w:color="auto" w:sz="4" w:space="0"/>
            </w:tcBorders>
            <w:noWrap w:val="0"/>
            <w:vAlign w:val="center"/>
          </w:tcPr>
          <w:p>
            <w:pPr>
              <w:contextualSpacing/>
              <w:jc w:val="cente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t>1</w:t>
            </w:r>
          </w:p>
        </w:tc>
        <w:tc>
          <w:tcPr>
            <w:tcW w:w="750" w:type="dxa"/>
            <w:tcBorders>
              <w:top w:val="single" w:color="auto" w:sz="4" w:space="0"/>
              <w:left w:val="single" w:color="auto" w:sz="4" w:space="0"/>
              <w:right w:val="single" w:color="auto" w:sz="4" w:space="0"/>
            </w:tcBorders>
            <w:noWrap w:val="0"/>
            <w:vAlign w:val="center"/>
          </w:tcPr>
          <w:p>
            <w:pPr>
              <w:adjustRightInd w:val="0"/>
              <w:spacing w:line="360" w:lineRule="auto"/>
              <w:ind w:left="0" w:leftChars="0" w:right="0" w:rightChars="0"/>
              <w:jc w:val="center"/>
              <w:rPr>
                <w:rFonts w:hint="default" w:asciiTheme="minorEastAsia" w:hAnsiTheme="minorEastAsia" w:eastAsiaTheme="minorEastAsia" w:cstheme="minorEastAsia"/>
                <w:color w:val="000000" w:themeColor="text1"/>
                <w:sz w:val="21"/>
                <w:szCs w:val="21"/>
                <w:highlight w:val="none"/>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1"/>
                <w:szCs w:val="21"/>
                <w:highlight w:val="none"/>
                <w:lang w:val="en-US" w:eastAsia="zh-CN" w:bidi="zh-CN"/>
                <w14:textFill>
                  <w14:solidFill>
                    <w14:schemeClr w14:val="tx1"/>
                  </w14:solidFill>
                </w14:textFill>
              </w:rPr>
              <w:t>报价</w:t>
            </w:r>
            <w:r>
              <w:rPr>
                <w:rFonts w:hint="eastAsia" w:asciiTheme="minorEastAsia" w:hAnsiTheme="minorEastAsia" w:eastAsiaTheme="minorEastAsia" w:cstheme="minorEastAsia"/>
                <w:color w:val="000000" w:themeColor="text1"/>
                <w:sz w:val="21"/>
                <w:szCs w:val="21"/>
                <w:highlight w:val="none"/>
                <w:lang w:val="en-US" w:eastAsia="zh-CN" w:bidi="zh-CN"/>
                <w14:textFill>
                  <w14:solidFill>
                    <w14:schemeClr w14:val="tx1"/>
                  </w14:solidFill>
                </w14:textFill>
              </w:rPr>
              <w:t>3</w:t>
            </w:r>
            <w:r>
              <w:rPr>
                <w:rFonts w:hint="default" w:asciiTheme="minorEastAsia" w:hAnsiTheme="minorEastAsia" w:eastAsiaTheme="minorEastAsia" w:cstheme="minorEastAsia"/>
                <w:color w:val="000000" w:themeColor="text1"/>
                <w:sz w:val="21"/>
                <w:szCs w:val="21"/>
                <w:highlight w:val="none"/>
                <w:lang w:val="en-US" w:eastAsia="zh-CN" w:bidi="zh-CN"/>
                <w14:textFill>
                  <w14:solidFill>
                    <w14:schemeClr w14:val="tx1"/>
                  </w14:solidFill>
                </w14:textFill>
              </w:rPr>
              <w:t>0%</w:t>
            </w:r>
          </w:p>
        </w:tc>
        <w:tc>
          <w:tcPr>
            <w:tcW w:w="720" w:type="dxa"/>
            <w:tcBorders>
              <w:top w:val="single" w:color="auto" w:sz="4" w:space="0"/>
              <w:left w:val="single" w:color="auto" w:sz="4" w:space="0"/>
              <w:right w:val="single" w:color="auto" w:sz="4" w:space="0"/>
            </w:tcBorders>
            <w:noWrap w:val="0"/>
            <w:vAlign w:val="center"/>
          </w:tcPr>
          <w:p>
            <w:pPr>
              <w:adjustRightInd w:val="0"/>
              <w:spacing w:line="360" w:lineRule="auto"/>
              <w:ind w:left="0" w:leftChars="0" w:right="0" w:rightChars="0"/>
              <w:jc w:val="center"/>
              <w:rPr>
                <w:rFonts w:hint="default" w:asciiTheme="minorEastAsia" w:hAnsiTheme="minorEastAsia" w:eastAsiaTheme="minorEastAsia" w:cstheme="minorEastAsia"/>
                <w:color w:val="000000" w:themeColor="text1"/>
                <w:sz w:val="21"/>
                <w:szCs w:val="21"/>
                <w:highlight w:val="none"/>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bidi="zh-CN"/>
                <w14:textFill>
                  <w14:solidFill>
                    <w14:schemeClr w14:val="tx1"/>
                  </w14:solidFill>
                </w14:textFill>
              </w:rPr>
              <w:t>3</w:t>
            </w:r>
            <w:r>
              <w:rPr>
                <w:rFonts w:hint="default" w:asciiTheme="minorEastAsia" w:hAnsiTheme="minorEastAsia" w:eastAsiaTheme="minorEastAsia" w:cstheme="minorEastAsia"/>
                <w:color w:val="000000" w:themeColor="text1"/>
                <w:sz w:val="21"/>
                <w:szCs w:val="21"/>
                <w:highlight w:val="none"/>
                <w:lang w:val="en-US" w:eastAsia="zh-CN" w:bidi="zh-CN"/>
                <w14:textFill>
                  <w14:solidFill>
                    <w14:schemeClr w14:val="tx1"/>
                  </w14:solidFill>
                </w14:textFill>
              </w:rPr>
              <w:t>0</w:t>
            </w:r>
          </w:p>
        </w:tc>
        <w:tc>
          <w:tcPr>
            <w:tcW w:w="1035" w:type="dxa"/>
            <w:tcBorders>
              <w:top w:val="single" w:color="auto" w:sz="4" w:space="0"/>
              <w:left w:val="single" w:color="auto" w:sz="4" w:space="0"/>
              <w:right w:val="single" w:color="auto" w:sz="4" w:space="0"/>
            </w:tcBorders>
            <w:noWrap w:val="0"/>
            <w:vAlign w:val="center"/>
          </w:tcPr>
          <w:p>
            <w:pPr>
              <w:adjustRightInd w:val="0"/>
              <w:spacing w:line="360" w:lineRule="auto"/>
              <w:ind w:left="0" w:leftChars="0" w:right="0" w:rightChars="0"/>
              <w:jc w:val="center"/>
              <w:rPr>
                <w:rFonts w:hint="default" w:asciiTheme="minorEastAsia" w:hAnsiTheme="minorEastAsia" w:eastAsiaTheme="minorEastAsia" w:cstheme="minorEastAsia"/>
                <w:color w:val="000000" w:themeColor="text1"/>
                <w:sz w:val="21"/>
                <w:szCs w:val="21"/>
                <w:highlight w:val="none"/>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bidi="zh-CN"/>
                <w14:textFill>
                  <w14:solidFill>
                    <w14:schemeClr w14:val="tx1"/>
                  </w14:solidFill>
                </w14:textFill>
              </w:rPr>
              <w:t>报价（30分）</w:t>
            </w:r>
          </w:p>
        </w:tc>
        <w:tc>
          <w:tcPr>
            <w:tcW w:w="4805" w:type="dxa"/>
            <w:tcBorders>
              <w:top w:val="single" w:color="auto" w:sz="4" w:space="0"/>
              <w:left w:val="single" w:color="auto" w:sz="4" w:space="0"/>
              <w:right w:val="single" w:color="auto" w:sz="4" w:space="0"/>
            </w:tcBorders>
            <w:noWrap w:val="0"/>
            <w:vAlign w:val="center"/>
          </w:tcPr>
          <w:p>
            <w:pPr>
              <w:adjustRightInd w:val="0"/>
              <w:spacing w:line="360" w:lineRule="auto"/>
              <w:rPr>
                <w:rFonts w:hint="default" w:asciiTheme="minorEastAsia" w:hAnsiTheme="minorEastAsia" w:eastAsiaTheme="minorEastAsia" w:cstheme="minorEastAsia"/>
                <w:color w:val="000000" w:themeColor="text1"/>
                <w:sz w:val="21"/>
                <w:szCs w:val="21"/>
                <w:highlight w:val="none"/>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1"/>
                <w:szCs w:val="21"/>
                <w:highlight w:val="none"/>
                <w:lang w:val="en-US" w:eastAsia="zh-CN" w:bidi="zh-CN"/>
                <w14:textFill>
                  <w14:solidFill>
                    <w14:schemeClr w14:val="tx1"/>
                  </w14:solidFill>
                </w14:textFill>
              </w:rPr>
              <w:t>以本次有效的最终最低磋商报价为基准价，磋商报价得分=(基准价／最后磋商报价)*</w:t>
            </w:r>
            <w:r>
              <w:rPr>
                <w:rFonts w:hint="eastAsia" w:asciiTheme="minorEastAsia" w:hAnsiTheme="minorEastAsia" w:eastAsiaTheme="minorEastAsia" w:cstheme="minorEastAsia"/>
                <w:color w:val="000000" w:themeColor="text1"/>
                <w:sz w:val="21"/>
                <w:szCs w:val="21"/>
                <w:highlight w:val="none"/>
                <w:lang w:val="en-US" w:eastAsia="zh-CN" w:bidi="zh-CN"/>
                <w14:textFill>
                  <w14:solidFill>
                    <w14:schemeClr w14:val="tx1"/>
                  </w14:solidFill>
                </w14:textFill>
              </w:rPr>
              <w:t>3</w:t>
            </w:r>
            <w:r>
              <w:rPr>
                <w:rFonts w:hint="default" w:asciiTheme="minorEastAsia" w:hAnsiTheme="minorEastAsia" w:eastAsiaTheme="minorEastAsia" w:cstheme="minorEastAsia"/>
                <w:color w:val="000000" w:themeColor="text1"/>
                <w:sz w:val="21"/>
                <w:szCs w:val="21"/>
                <w:highlight w:val="none"/>
                <w:lang w:val="en-US" w:eastAsia="zh-CN" w:bidi="zh-CN"/>
                <w14:textFill>
                  <w14:solidFill>
                    <w14:schemeClr w14:val="tx1"/>
                  </w14:solidFill>
                </w14:textFill>
              </w:rPr>
              <w:t>0分。</w:t>
            </w:r>
          </w:p>
        </w:tc>
        <w:tc>
          <w:tcPr>
            <w:tcW w:w="2395" w:type="dxa"/>
            <w:tcBorders>
              <w:top w:val="single" w:color="auto" w:sz="4" w:space="0"/>
              <w:left w:val="single" w:color="auto" w:sz="4" w:space="0"/>
              <w:right w:val="single" w:color="auto" w:sz="4" w:space="0"/>
            </w:tcBorders>
            <w:noWrap w:val="0"/>
            <w:vAlign w:val="center"/>
          </w:tcPr>
          <w:p>
            <w:pPr>
              <w:pStyle w:val="34"/>
              <w:spacing w:line="240" w:lineRule="auto"/>
              <w:ind w:right="-29"/>
              <w:jc w:val="cente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597" w:type="dxa"/>
            <w:tcBorders>
              <w:top w:val="single" w:color="auto" w:sz="4" w:space="0"/>
              <w:left w:val="single" w:color="auto" w:sz="4" w:space="0"/>
              <w:right w:val="single" w:color="auto" w:sz="4" w:space="0"/>
            </w:tcBorders>
            <w:noWrap w:val="0"/>
            <w:vAlign w:val="center"/>
          </w:tcPr>
          <w:p>
            <w:pPr>
              <w:contextualSpacing/>
              <w:jc w:val="cente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t>2</w:t>
            </w:r>
          </w:p>
        </w:tc>
        <w:tc>
          <w:tcPr>
            <w:tcW w:w="750" w:type="dxa"/>
            <w:tcBorders>
              <w:top w:val="single" w:color="auto" w:sz="4" w:space="0"/>
              <w:left w:val="single" w:color="auto" w:sz="4" w:space="0"/>
              <w:right w:val="single" w:color="auto" w:sz="4" w:space="0"/>
            </w:tcBorders>
            <w:noWrap w:val="0"/>
            <w:vAlign w:val="center"/>
          </w:tcPr>
          <w:p>
            <w:pPr>
              <w:jc w:val="center"/>
              <w:rPr>
                <w:rFonts w:hint="default"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t>技术要求30%</w:t>
            </w:r>
          </w:p>
        </w:tc>
        <w:tc>
          <w:tcPr>
            <w:tcW w:w="720" w:type="dxa"/>
            <w:tcBorders>
              <w:top w:val="single" w:color="auto" w:sz="4" w:space="0"/>
              <w:left w:val="single" w:color="auto" w:sz="4" w:space="0"/>
              <w:right w:val="single" w:color="auto" w:sz="4" w:space="0"/>
            </w:tcBorders>
            <w:noWrap w:val="0"/>
            <w:vAlign w:val="center"/>
          </w:tcPr>
          <w:p>
            <w:pPr>
              <w:jc w:val="center"/>
              <w:rPr>
                <w:rFonts w:hint="default"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t>30</w:t>
            </w:r>
          </w:p>
        </w:tc>
        <w:tc>
          <w:tcPr>
            <w:tcW w:w="1035" w:type="dxa"/>
            <w:tcBorders>
              <w:top w:val="single" w:color="auto" w:sz="4" w:space="0"/>
              <w:left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t>项目人员</w:t>
            </w:r>
          </w:p>
          <w:p>
            <w:pPr>
              <w:jc w:val="center"/>
              <w:rPr>
                <w:rFonts w:hint="default"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t>（30分）</w:t>
            </w:r>
          </w:p>
        </w:tc>
        <w:tc>
          <w:tcPr>
            <w:tcW w:w="4805" w:type="dxa"/>
            <w:tcBorders>
              <w:top w:val="single" w:color="auto" w:sz="4" w:space="0"/>
              <w:left w:val="single" w:color="auto" w:sz="4" w:space="0"/>
              <w:right w:val="single" w:color="auto" w:sz="4" w:space="0"/>
            </w:tcBorders>
            <w:noWrap w:val="0"/>
            <w:vAlign w:val="center"/>
          </w:tcPr>
          <w:p>
            <w:pPr>
              <w:pStyle w:val="11"/>
              <w:numPr>
                <w:ilvl w:val="0"/>
                <w:numId w:val="0"/>
              </w:numPr>
              <w:jc w:val="both"/>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供应商拟投入本项目的有害生物防治专员中每有一人具有有害生物防治员</w:t>
            </w:r>
            <w:bookmarkStart w:id="2" w:name="_GoBack"/>
            <w:bookmarkEnd w:id="2"/>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三级/高级职业资格证书的得5分，四级/中级职业资格证书的得3分，五级/初级职业资格证书的得1分，最高得30分。</w:t>
            </w:r>
          </w:p>
        </w:tc>
        <w:tc>
          <w:tcPr>
            <w:tcW w:w="2395" w:type="dxa"/>
            <w:tcBorders>
              <w:top w:val="single" w:color="auto" w:sz="4" w:space="0"/>
              <w:left w:val="single" w:color="auto" w:sz="4" w:space="0"/>
              <w:right w:val="single" w:color="auto" w:sz="4" w:space="0"/>
            </w:tcBorders>
            <w:noWrap w:val="0"/>
            <w:vAlign w:val="center"/>
          </w:tcPr>
          <w:p>
            <w:pPr>
              <w:jc w:val="both"/>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t>供应商提供管理人员证书复印件及施工人员资格证书复印件。同一人有多个证书的按最高级得分，不重复得分。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597" w:type="dxa"/>
            <w:tcBorders>
              <w:top w:val="single" w:color="auto" w:sz="4" w:space="0"/>
              <w:left w:val="single" w:color="auto" w:sz="4" w:space="0"/>
              <w:right w:val="single" w:color="auto" w:sz="4" w:space="0"/>
            </w:tcBorders>
            <w:noWrap w:val="0"/>
            <w:vAlign w:val="center"/>
          </w:tcPr>
          <w:p>
            <w:pPr>
              <w:contextualSpacing/>
              <w:jc w:val="cente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t>3</w:t>
            </w:r>
          </w:p>
        </w:tc>
        <w:tc>
          <w:tcPr>
            <w:tcW w:w="750" w:type="dxa"/>
            <w:tcBorders>
              <w:top w:val="single" w:color="auto" w:sz="4" w:space="0"/>
              <w:left w:val="single" w:color="auto" w:sz="4" w:space="0"/>
              <w:right w:val="single" w:color="auto" w:sz="4" w:space="0"/>
            </w:tcBorders>
            <w:noWrap w:val="0"/>
            <w:vAlign w:val="center"/>
          </w:tcPr>
          <w:p>
            <w:pPr>
              <w:jc w:val="center"/>
              <w:rPr>
                <w:rFonts w:hint="default"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t>业绩10%</w:t>
            </w:r>
          </w:p>
        </w:tc>
        <w:tc>
          <w:tcPr>
            <w:tcW w:w="720" w:type="dxa"/>
            <w:tcBorders>
              <w:top w:val="single" w:color="auto" w:sz="4" w:space="0"/>
              <w:left w:val="single" w:color="auto" w:sz="4" w:space="0"/>
              <w:right w:val="single" w:color="auto" w:sz="4" w:space="0"/>
            </w:tcBorders>
            <w:noWrap w:val="0"/>
            <w:vAlign w:val="center"/>
          </w:tcPr>
          <w:p>
            <w:pPr>
              <w:jc w:val="center"/>
              <w:rPr>
                <w:rFonts w:hint="default"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t>10</w:t>
            </w:r>
          </w:p>
        </w:tc>
        <w:tc>
          <w:tcPr>
            <w:tcW w:w="1035" w:type="dxa"/>
            <w:tcBorders>
              <w:top w:val="single" w:color="auto" w:sz="4" w:space="0"/>
              <w:left w:val="single" w:color="auto" w:sz="4" w:space="0"/>
              <w:right w:val="single" w:color="auto" w:sz="4" w:space="0"/>
            </w:tcBorders>
            <w:noWrap w:val="0"/>
            <w:vAlign w:val="center"/>
          </w:tcPr>
          <w:p>
            <w:pPr>
              <w:adjustRightInd w:val="0"/>
              <w:spacing w:line="360" w:lineRule="auto"/>
              <w:rPr>
                <w:rFonts w:hint="eastAsia" w:asciiTheme="minorEastAsia" w:hAnsiTheme="minorEastAsia" w:eastAsiaTheme="minorEastAsia" w:cstheme="minorEastAsia"/>
                <w:color w:val="000000" w:themeColor="text1"/>
                <w:sz w:val="21"/>
                <w:szCs w:val="21"/>
                <w:highlight w:val="none"/>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bidi="zh-CN"/>
                <w14:textFill>
                  <w14:solidFill>
                    <w14:schemeClr w14:val="tx1"/>
                  </w14:solidFill>
                </w14:textFill>
              </w:rPr>
              <w:t>类似业绩（10分）</w:t>
            </w:r>
          </w:p>
        </w:tc>
        <w:tc>
          <w:tcPr>
            <w:tcW w:w="480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rPr>
                <w:rFonts w:hint="default" w:asciiTheme="minorEastAsia" w:hAnsiTheme="minorEastAsia" w:eastAsiaTheme="minorEastAsia" w:cstheme="minorEastAsia"/>
                <w:color w:val="000000" w:themeColor="text1"/>
                <w:sz w:val="21"/>
                <w:szCs w:val="21"/>
                <w:highlight w:val="none"/>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1"/>
                <w:szCs w:val="21"/>
                <w:highlight w:val="none"/>
                <w:lang w:val="en-US" w:eastAsia="zh-CN" w:bidi="zh-CN"/>
                <w14:textFill>
                  <w14:solidFill>
                    <w14:schemeClr w14:val="tx1"/>
                  </w14:solidFill>
                </w14:textFill>
              </w:rPr>
              <w:t>供应商提供类似项目业绩，每有一个类似本项目业绩的得2</w:t>
            </w:r>
            <w:r>
              <w:rPr>
                <w:rFonts w:hint="eastAsia" w:asciiTheme="minorEastAsia" w:hAnsiTheme="minorEastAsia" w:eastAsiaTheme="minorEastAsia" w:cstheme="minorEastAsia"/>
                <w:color w:val="000000" w:themeColor="text1"/>
                <w:sz w:val="21"/>
                <w:szCs w:val="21"/>
                <w:highlight w:val="none"/>
                <w:lang w:val="en-US" w:eastAsia="zh-CN" w:bidi="zh-CN"/>
                <w14:textFill>
                  <w14:solidFill>
                    <w14:schemeClr w14:val="tx1"/>
                  </w14:solidFill>
                </w14:textFill>
              </w:rPr>
              <w:t>.5</w:t>
            </w:r>
            <w:r>
              <w:rPr>
                <w:rFonts w:hint="default" w:asciiTheme="minorEastAsia" w:hAnsiTheme="minorEastAsia" w:eastAsiaTheme="minorEastAsia" w:cstheme="minorEastAsia"/>
                <w:color w:val="000000" w:themeColor="text1"/>
                <w:sz w:val="21"/>
                <w:szCs w:val="21"/>
                <w:highlight w:val="none"/>
                <w:lang w:val="en-US" w:eastAsia="zh-CN" w:bidi="zh-CN"/>
                <w14:textFill>
                  <w14:solidFill>
                    <w14:schemeClr w14:val="tx1"/>
                  </w14:solidFill>
                </w14:textFill>
              </w:rPr>
              <w:t>分，本项最高得</w:t>
            </w:r>
            <w:r>
              <w:rPr>
                <w:rFonts w:hint="eastAsia" w:asciiTheme="minorEastAsia" w:hAnsiTheme="minorEastAsia" w:eastAsiaTheme="minorEastAsia" w:cstheme="minorEastAsia"/>
                <w:color w:val="000000" w:themeColor="text1"/>
                <w:sz w:val="21"/>
                <w:szCs w:val="21"/>
                <w:highlight w:val="none"/>
                <w:lang w:val="en-US" w:eastAsia="zh-CN" w:bidi="zh-CN"/>
                <w14:textFill>
                  <w14:solidFill>
                    <w14:schemeClr w14:val="tx1"/>
                  </w14:solidFill>
                </w14:textFill>
              </w:rPr>
              <w:t>10</w:t>
            </w:r>
            <w:r>
              <w:rPr>
                <w:rFonts w:hint="default" w:asciiTheme="minorEastAsia" w:hAnsiTheme="minorEastAsia" w:eastAsiaTheme="minorEastAsia" w:cstheme="minorEastAsia"/>
                <w:color w:val="000000" w:themeColor="text1"/>
                <w:sz w:val="21"/>
                <w:szCs w:val="21"/>
                <w:highlight w:val="none"/>
                <w:lang w:val="en-US" w:eastAsia="zh-CN" w:bidi="zh-CN"/>
                <w14:textFill>
                  <w14:solidFill>
                    <w14:schemeClr w14:val="tx1"/>
                  </w14:solidFill>
                </w14:textFill>
              </w:rPr>
              <w:t>分。</w:t>
            </w:r>
          </w:p>
        </w:tc>
        <w:tc>
          <w:tcPr>
            <w:tcW w:w="2395" w:type="dxa"/>
            <w:tcBorders>
              <w:top w:val="single" w:color="auto" w:sz="4" w:space="0"/>
              <w:left w:val="single" w:color="auto" w:sz="4" w:space="0"/>
              <w:right w:val="single" w:color="auto" w:sz="4" w:space="0"/>
            </w:tcBorders>
            <w:noWrap w:val="0"/>
            <w:vAlign w:val="center"/>
          </w:tcPr>
          <w:p>
            <w:pPr>
              <w:adjustRightInd w:val="0"/>
              <w:spacing w:line="360" w:lineRule="auto"/>
              <w:rPr>
                <w:rFonts w:hint="eastAsia" w:asciiTheme="minorEastAsia" w:hAnsiTheme="minorEastAsia" w:eastAsiaTheme="minorEastAsia" w:cstheme="minorEastAsia"/>
                <w:color w:val="000000" w:themeColor="text1"/>
                <w:sz w:val="21"/>
                <w:szCs w:val="21"/>
                <w:highlight w:val="none"/>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1"/>
                <w:szCs w:val="21"/>
                <w:highlight w:val="none"/>
                <w:lang w:val="en-US" w:eastAsia="zh-CN" w:bidi="zh-CN"/>
                <w14:textFill>
                  <w14:solidFill>
                    <w14:schemeClr w14:val="tx1"/>
                  </w14:solidFill>
                </w14:textFill>
              </w:rPr>
              <w:t>提供类似业绩合同复印件或成交（中标）通知书并加盖供应商鲜章，不提供的不得分。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8" w:hRule="atLeast"/>
        </w:trPr>
        <w:tc>
          <w:tcPr>
            <w:tcW w:w="597" w:type="dxa"/>
            <w:tcBorders>
              <w:left w:val="single" w:color="auto" w:sz="4" w:space="0"/>
              <w:right w:val="single" w:color="auto" w:sz="4" w:space="0"/>
            </w:tcBorders>
            <w:noWrap w:val="0"/>
            <w:vAlign w:val="center"/>
          </w:tcPr>
          <w:p>
            <w:pPr>
              <w:contextualSpacing/>
              <w:jc w:val="center"/>
              <w:rPr>
                <w:rFonts w:hint="default"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t>4</w:t>
            </w:r>
          </w:p>
        </w:tc>
        <w:tc>
          <w:tcPr>
            <w:tcW w:w="750" w:type="dxa"/>
            <w:tcBorders>
              <w:left w:val="single" w:color="auto" w:sz="4" w:space="0"/>
              <w:right w:val="single" w:color="auto" w:sz="4" w:space="0"/>
            </w:tcBorders>
            <w:noWrap w:val="0"/>
            <w:vAlign w:val="center"/>
          </w:tcPr>
          <w:p>
            <w:pPr>
              <w:contextualSpacing/>
              <w:jc w:val="center"/>
              <w:rPr>
                <w:rFonts w:hint="default"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t>方案30%</w:t>
            </w:r>
          </w:p>
        </w:tc>
        <w:tc>
          <w:tcPr>
            <w:tcW w:w="720" w:type="dxa"/>
            <w:tcBorders>
              <w:left w:val="single" w:color="auto" w:sz="4" w:space="0"/>
              <w:right w:val="single" w:color="auto" w:sz="4" w:space="0"/>
            </w:tcBorders>
            <w:noWrap w:val="0"/>
            <w:vAlign w:val="center"/>
          </w:tcPr>
          <w:p>
            <w:pPr>
              <w:contextualSpacing/>
              <w:jc w:val="center"/>
              <w:rPr>
                <w:rFonts w:hint="default"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t>30</w:t>
            </w:r>
          </w:p>
        </w:tc>
        <w:tc>
          <w:tcPr>
            <w:tcW w:w="1035" w:type="dxa"/>
            <w:tcBorders>
              <w:left w:val="single" w:color="auto" w:sz="4" w:space="0"/>
              <w:right w:val="single" w:color="auto" w:sz="4" w:space="0"/>
            </w:tcBorders>
            <w:noWrap w:val="0"/>
            <w:vAlign w:val="center"/>
          </w:tcPr>
          <w:p>
            <w:pPr>
              <w:contextualSpacing/>
              <w:jc w:val="cente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t>项目实施方案（30分）</w:t>
            </w:r>
          </w:p>
        </w:tc>
        <w:tc>
          <w:tcPr>
            <w:tcW w:w="48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heme="minorEastAsia" w:hAnsiTheme="minorEastAsia" w:eastAsiaTheme="minorEastAsia" w:cstheme="minorEastAsia"/>
                <w:color w:val="000000" w:themeColor="text1"/>
                <w:sz w:val="21"/>
                <w:szCs w:val="21"/>
                <w:highlight w:val="none"/>
                <w:lang w:val="en-US" w:eastAsia="zh-CN" w:bidi="zh-CN"/>
                <w14:textFill>
                  <w14:solidFill>
                    <w14:schemeClr w14:val="tx1"/>
                  </w14:solidFill>
                </w14:textFill>
              </w:rPr>
            </w:pPr>
            <w:r>
              <w:rPr>
                <w:rFonts w:hint="default" w:asciiTheme="minorEastAsia" w:hAnsiTheme="minorEastAsia" w:eastAsiaTheme="minorEastAsia" w:cstheme="minorEastAsia"/>
                <w:color w:val="000000" w:themeColor="text1"/>
                <w:sz w:val="21"/>
                <w:szCs w:val="21"/>
                <w:highlight w:val="none"/>
                <w:lang w:val="en-US" w:eastAsia="zh-CN" w:bidi="zh-CN"/>
                <w14:textFill>
                  <w14:solidFill>
                    <w14:schemeClr w14:val="tx1"/>
                  </w14:solidFill>
                </w14:textFill>
              </w:rPr>
              <w:t>根据供应商提供的针对本项目的</w:t>
            </w:r>
            <w:r>
              <w:rPr>
                <w:rFonts w:hint="eastAsia" w:asciiTheme="minorEastAsia" w:hAnsiTheme="minorEastAsia" w:eastAsiaTheme="minorEastAsia" w:cstheme="minorEastAsia"/>
                <w:color w:val="000000" w:themeColor="text1"/>
                <w:sz w:val="21"/>
                <w:szCs w:val="21"/>
                <w:highlight w:val="none"/>
                <w:lang w:val="en-US" w:eastAsia="zh-CN" w:bidi="zh-CN"/>
                <w14:textFill>
                  <w14:solidFill>
                    <w14:schemeClr w14:val="tx1"/>
                  </w14:solidFill>
                </w14:textFill>
              </w:rPr>
              <w:t>项目实施</w:t>
            </w:r>
            <w:r>
              <w:rPr>
                <w:rFonts w:hint="default" w:asciiTheme="minorEastAsia" w:hAnsiTheme="minorEastAsia" w:eastAsiaTheme="minorEastAsia" w:cstheme="minorEastAsia"/>
                <w:color w:val="000000" w:themeColor="text1"/>
                <w:sz w:val="21"/>
                <w:szCs w:val="21"/>
                <w:highlight w:val="none"/>
                <w:lang w:val="en-US" w:eastAsia="zh-CN" w:bidi="zh-CN"/>
                <w14:textFill>
                  <w14:solidFill>
                    <w14:schemeClr w14:val="tx1"/>
                  </w14:solidFill>
                </w14:textFill>
              </w:rPr>
              <w:t>方案进行评审，内容包括：①时间安排及进度</w:t>
            </w:r>
            <w:r>
              <w:rPr>
                <w:rFonts w:hint="eastAsia" w:asciiTheme="minorEastAsia" w:hAnsiTheme="minorEastAsia" w:eastAsiaTheme="minorEastAsia" w:cstheme="minorEastAsia"/>
                <w:color w:val="000000" w:themeColor="text1"/>
                <w:sz w:val="21"/>
                <w:szCs w:val="21"/>
                <w:highlight w:val="none"/>
                <w:lang w:val="en-US" w:eastAsia="zh-CN" w:bidi="zh-CN"/>
                <w14:textFill>
                  <w14:solidFill>
                    <w14:schemeClr w14:val="tx1"/>
                  </w14:solidFill>
                </w14:textFill>
              </w:rPr>
              <w:t>安排</w:t>
            </w:r>
            <w:r>
              <w:rPr>
                <w:rFonts w:hint="default" w:asciiTheme="minorEastAsia" w:hAnsiTheme="minorEastAsia" w:eastAsiaTheme="minorEastAsia" w:cstheme="minorEastAsia"/>
                <w:color w:val="000000" w:themeColor="text1"/>
                <w:sz w:val="21"/>
                <w:szCs w:val="21"/>
                <w:highlight w:val="none"/>
                <w:lang w:val="en-US" w:eastAsia="zh-CN" w:bidi="zh-CN"/>
                <w14:textFill>
                  <w14:solidFill>
                    <w14:schemeClr w14:val="tx1"/>
                  </w14:solidFill>
                </w14:textFill>
              </w:rPr>
              <w:t>；②防治方案；</w:t>
            </w:r>
            <w:r>
              <w:rPr>
                <w:rFonts w:hint="eastAsia" w:asciiTheme="minorEastAsia" w:hAnsiTheme="minorEastAsia" w:eastAsiaTheme="minorEastAsia" w:cstheme="minorEastAsia"/>
                <w:color w:val="000000" w:themeColor="text1"/>
                <w:sz w:val="21"/>
                <w:szCs w:val="21"/>
                <w:highlight w:val="none"/>
                <w:lang w:val="en-US" w:eastAsia="zh-CN" w:bidi="zh-CN"/>
                <w14:textFill>
                  <w14:solidFill>
                    <w14:schemeClr w14:val="tx1"/>
                  </w14:solidFill>
                </w14:textFill>
              </w:rPr>
              <w:t>③服务</w:t>
            </w:r>
            <w:r>
              <w:rPr>
                <w:rFonts w:hint="default" w:asciiTheme="minorEastAsia" w:hAnsiTheme="minorEastAsia" w:eastAsiaTheme="minorEastAsia" w:cstheme="minorEastAsia"/>
                <w:color w:val="000000" w:themeColor="text1"/>
                <w:sz w:val="21"/>
                <w:szCs w:val="21"/>
                <w:highlight w:val="none"/>
                <w:lang w:val="en-US" w:eastAsia="zh-CN" w:bidi="zh-CN"/>
                <w14:textFill>
                  <w14:solidFill>
                    <w14:schemeClr w14:val="tx1"/>
                  </w14:solidFill>
                </w14:textFill>
              </w:rPr>
              <w:t>质量保障措施、</w:t>
            </w:r>
            <w:r>
              <w:rPr>
                <w:rFonts w:hint="eastAsia" w:asciiTheme="minorEastAsia" w:hAnsiTheme="minorEastAsia" w:eastAsiaTheme="minorEastAsia" w:cstheme="minorEastAsia"/>
                <w:color w:val="000000" w:themeColor="text1"/>
                <w:sz w:val="21"/>
                <w:szCs w:val="21"/>
                <w:highlight w:val="none"/>
                <w:lang w:val="en-US" w:eastAsia="zh-CN" w:bidi="zh-CN"/>
                <w14:textFill>
                  <w14:solidFill>
                    <w14:schemeClr w14:val="tx1"/>
                  </w14:solidFill>
                </w14:textFill>
              </w:rPr>
              <w:t>④</w:t>
            </w:r>
            <w:r>
              <w:rPr>
                <w:rFonts w:hint="default" w:asciiTheme="minorEastAsia" w:hAnsiTheme="minorEastAsia" w:eastAsiaTheme="minorEastAsia" w:cstheme="minorEastAsia"/>
                <w:color w:val="000000" w:themeColor="text1"/>
                <w:sz w:val="21"/>
                <w:szCs w:val="21"/>
                <w:highlight w:val="none"/>
                <w:lang w:val="en-US" w:eastAsia="zh-CN" w:bidi="zh-CN"/>
                <w14:textFill>
                  <w14:solidFill>
                    <w14:schemeClr w14:val="tx1"/>
                  </w14:solidFill>
                </w14:textFill>
              </w:rPr>
              <w:t>应急处理方案</w:t>
            </w:r>
            <w:r>
              <w:rPr>
                <w:rFonts w:hint="eastAsia" w:asciiTheme="minorEastAsia" w:hAnsiTheme="minorEastAsia" w:eastAsiaTheme="minorEastAsia" w:cstheme="minorEastAsia"/>
                <w:color w:val="000000" w:themeColor="text1"/>
                <w:sz w:val="21"/>
                <w:szCs w:val="21"/>
                <w:highlight w:val="none"/>
                <w:lang w:val="en-US" w:eastAsia="zh-CN" w:bidi="zh-CN"/>
                <w14:textFill>
                  <w14:solidFill>
                    <w14:schemeClr w14:val="tx1"/>
                  </w14:solidFill>
                </w14:textFill>
              </w:rPr>
              <w:t>；⑤服务人员培训措施。</w:t>
            </w:r>
          </w:p>
          <w:p>
            <w:pPr>
              <w:pStyle w:val="11"/>
              <w:jc w:val="both"/>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bidi="zh-CN"/>
                <w14:textFill>
                  <w14:solidFill>
                    <w14:schemeClr w14:val="tx1"/>
                  </w14:solidFill>
                </w14:textFill>
              </w:rPr>
              <w:t>涵盖以上5项内容且不存在缺陷得30分，在此基础上，每缺少一项内容扣6分，每有一处内容存在缺陷扣3分，扣完为止。（“内容存在缺陷”是指：①本项目提供的方案中引用法律、规范、标准存在失效或错误；②非专门针对本项目或内容与本项目需求无关；③内容矛盾或表述前后不一致；④复制或套用其他项目内容；以上任意一种情形。）</w:t>
            </w:r>
          </w:p>
        </w:tc>
        <w:tc>
          <w:tcPr>
            <w:tcW w:w="2395" w:type="dxa"/>
            <w:tcBorders>
              <w:left w:val="single" w:color="auto" w:sz="4" w:space="0"/>
              <w:right w:val="single" w:color="auto" w:sz="4" w:space="0"/>
            </w:tcBorders>
            <w:noWrap w:val="0"/>
            <w:vAlign w:val="center"/>
          </w:tcPr>
          <w:p>
            <w:pPr>
              <w:pStyle w:val="11"/>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bl>
    <w:p>
      <w:pPr>
        <w:rPr>
          <w:highlight w:val="none"/>
        </w:rPr>
      </w:pPr>
    </w:p>
    <w:p>
      <w:pPr>
        <w:pStyle w:val="11"/>
        <w:rPr>
          <w:rFonts w:hint="eastAsia"/>
          <w:highlight w:val="none"/>
          <w:lang w:val="en-US" w:eastAsia="zh-CN"/>
        </w:rPr>
      </w:pPr>
      <w:r>
        <w:rPr>
          <w:rFonts w:hint="eastAsia" w:ascii="仿宋_GB2312" w:hAnsi="仿宋_GB2312" w:eastAsia="仿宋_GB2312" w:cs="仿宋_GB2312"/>
          <w:b/>
          <w:bCs/>
          <w:color w:val="auto"/>
          <w:sz w:val="21"/>
          <w:szCs w:val="21"/>
          <w:highlight w:val="none"/>
          <w:lang w:eastAsia="zh-CN"/>
        </w:rPr>
        <w:t>注：</w:t>
      </w:r>
      <w:r>
        <w:rPr>
          <w:rFonts w:hint="eastAsia" w:ascii="仿宋_GB2312" w:hAnsi="仿宋_GB2312" w:eastAsia="仿宋_GB2312" w:cs="仿宋_GB2312"/>
          <w:b/>
          <w:bCs/>
          <w:color w:val="auto"/>
          <w:sz w:val="21"/>
          <w:szCs w:val="21"/>
          <w:highlight w:val="none"/>
          <w:lang w:val="en-US" w:eastAsia="zh-CN"/>
        </w:rPr>
        <w:t>本表中</w:t>
      </w:r>
      <w:r>
        <w:rPr>
          <w:rFonts w:hint="eastAsia" w:ascii="仿宋_GB2312" w:hAnsi="仿宋_GB2312" w:eastAsia="仿宋_GB2312" w:cs="仿宋_GB2312"/>
          <w:b/>
          <w:bCs/>
          <w:color w:val="auto"/>
          <w:sz w:val="21"/>
          <w:szCs w:val="21"/>
          <w:highlight w:val="none"/>
          <w:lang w:eastAsia="zh-CN"/>
        </w:rPr>
        <w:t>的评分取值按四舍五入法，小数点后保留两位。</w:t>
      </w:r>
    </w:p>
    <w:p>
      <w:pPr>
        <w:rPr>
          <w:rFonts w:hint="eastAsia"/>
          <w:highlight w:val="none"/>
          <w:lang w:val="en-US" w:eastAsia="zh-CN"/>
        </w:rPr>
      </w:pPr>
    </w:p>
    <w:sectPr>
      <w:footerReference r:id="rId3" w:type="default"/>
      <w:pgSz w:w="11906" w:h="16838"/>
      <w:pgMar w:top="1134" w:right="1418" w:bottom="851" w:left="141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Arial"/>
    <w:panose1 w:val="020B0604020202020204"/>
    <w:charset w:val="00"/>
    <w:family w:val="auto"/>
    <w:pitch w:val="default"/>
    <w:sig w:usb0="00000000" w:usb1="00000000" w:usb2="0000003F" w:usb3="00000000" w:csb0="003F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942FA6"/>
    <w:multiLevelType w:val="singleLevel"/>
    <w:tmpl w:val="30942FA6"/>
    <w:lvl w:ilvl="0" w:tentative="0">
      <w:start w:val="1"/>
      <w:numFmt w:val="decimal"/>
      <w:pStyle w:val="50"/>
      <w:lvlText w:val="%1."/>
      <w:lvlJc w:val="left"/>
      <w:pPr>
        <w:ind w:left="425" w:hanging="425"/>
      </w:pPr>
      <w:rPr>
        <w:rFonts w:hint="default"/>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4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kYjBiMzcyZWEyYjdiNDdiZWEzMzIwNjA1NmVlZWMifQ=="/>
  </w:docVars>
  <w:rsids>
    <w:rsidRoot w:val="005908C4"/>
    <w:rsid w:val="0007772F"/>
    <w:rsid w:val="000D3AEE"/>
    <w:rsid w:val="001727A2"/>
    <w:rsid w:val="002046A0"/>
    <w:rsid w:val="00235B6F"/>
    <w:rsid w:val="00242C11"/>
    <w:rsid w:val="00260F11"/>
    <w:rsid w:val="003D1E3F"/>
    <w:rsid w:val="003D388A"/>
    <w:rsid w:val="003E17A2"/>
    <w:rsid w:val="00444380"/>
    <w:rsid w:val="00462EED"/>
    <w:rsid w:val="00590092"/>
    <w:rsid w:val="005908C4"/>
    <w:rsid w:val="00602A36"/>
    <w:rsid w:val="006703E3"/>
    <w:rsid w:val="00697163"/>
    <w:rsid w:val="006F2EAA"/>
    <w:rsid w:val="00715237"/>
    <w:rsid w:val="007C5D34"/>
    <w:rsid w:val="0086482A"/>
    <w:rsid w:val="00892C9F"/>
    <w:rsid w:val="009727B2"/>
    <w:rsid w:val="009F1FC1"/>
    <w:rsid w:val="00AA4A32"/>
    <w:rsid w:val="00AE688E"/>
    <w:rsid w:val="00B006EB"/>
    <w:rsid w:val="00D528DA"/>
    <w:rsid w:val="00D76B45"/>
    <w:rsid w:val="00E207B4"/>
    <w:rsid w:val="00E55561"/>
    <w:rsid w:val="00E5722A"/>
    <w:rsid w:val="00E66588"/>
    <w:rsid w:val="00F14389"/>
    <w:rsid w:val="01147703"/>
    <w:rsid w:val="017B774E"/>
    <w:rsid w:val="01EE6549"/>
    <w:rsid w:val="01FA5E63"/>
    <w:rsid w:val="027E613F"/>
    <w:rsid w:val="055C5637"/>
    <w:rsid w:val="061007E8"/>
    <w:rsid w:val="064253DE"/>
    <w:rsid w:val="06485E03"/>
    <w:rsid w:val="086C6822"/>
    <w:rsid w:val="08C412EB"/>
    <w:rsid w:val="08CB0808"/>
    <w:rsid w:val="08DE4018"/>
    <w:rsid w:val="08F4624B"/>
    <w:rsid w:val="09127629"/>
    <w:rsid w:val="0A380E25"/>
    <w:rsid w:val="0B0867F5"/>
    <w:rsid w:val="0B660F7D"/>
    <w:rsid w:val="0D051B42"/>
    <w:rsid w:val="0D4A3861"/>
    <w:rsid w:val="0E9737D0"/>
    <w:rsid w:val="0F437DB4"/>
    <w:rsid w:val="0F6B3960"/>
    <w:rsid w:val="0F724942"/>
    <w:rsid w:val="119D4B1B"/>
    <w:rsid w:val="13DF201B"/>
    <w:rsid w:val="14706BA3"/>
    <w:rsid w:val="14BD66ED"/>
    <w:rsid w:val="150E3040"/>
    <w:rsid w:val="160526C3"/>
    <w:rsid w:val="16072E4F"/>
    <w:rsid w:val="17054526"/>
    <w:rsid w:val="17A252C5"/>
    <w:rsid w:val="17F42A8D"/>
    <w:rsid w:val="18116ECC"/>
    <w:rsid w:val="187E6699"/>
    <w:rsid w:val="18C66CA9"/>
    <w:rsid w:val="192E7AAE"/>
    <w:rsid w:val="1956660C"/>
    <w:rsid w:val="19983BCC"/>
    <w:rsid w:val="1AD3096B"/>
    <w:rsid w:val="1B5B37A8"/>
    <w:rsid w:val="1CA3349C"/>
    <w:rsid w:val="1CA56C3B"/>
    <w:rsid w:val="1DB4234F"/>
    <w:rsid w:val="1E4A616F"/>
    <w:rsid w:val="1E5A248F"/>
    <w:rsid w:val="1E83443A"/>
    <w:rsid w:val="1ED14821"/>
    <w:rsid w:val="1ED51ED3"/>
    <w:rsid w:val="1F9C61EE"/>
    <w:rsid w:val="1FA51FD0"/>
    <w:rsid w:val="1FDD6E90"/>
    <w:rsid w:val="20282386"/>
    <w:rsid w:val="206C658E"/>
    <w:rsid w:val="20823833"/>
    <w:rsid w:val="214B29C3"/>
    <w:rsid w:val="21610D1A"/>
    <w:rsid w:val="21B0403A"/>
    <w:rsid w:val="220403FC"/>
    <w:rsid w:val="22243F01"/>
    <w:rsid w:val="2276562D"/>
    <w:rsid w:val="22DB2A40"/>
    <w:rsid w:val="24783EEF"/>
    <w:rsid w:val="24E223DF"/>
    <w:rsid w:val="256D6A5C"/>
    <w:rsid w:val="25943A43"/>
    <w:rsid w:val="261B0526"/>
    <w:rsid w:val="263D325B"/>
    <w:rsid w:val="26FF6F87"/>
    <w:rsid w:val="27F03BE0"/>
    <w:rsid w:val="28944AE8"/>
    <w:rsid w:val="289D4B33"/>
    <w:rsid w:val="297A3ED9"/>
    <w:rsid w:val="297A4149"/>
    <w:rsid w:val="29F125D5"/>
    <w:rsid w:val="2A8A6AAE"/>
    <w:rsid w:val="2D1139F4"/>
    <w:rsid w:val="2E023E19"/>
    <w:rsid w:val="2F1B42B7"/>
    <w:rsid w:val="30371A3E"/>
    <w:rsid w:val="30681285"/>
    <w:rsid w:val="31C978BE"/>
    <w:rsid w:val="32D5248E"/>
    <w:rsid w:val="35BF0790"/>
    <w:rsid w:val="361402BE"/>
    <w:rsid w:val="36727BE2"/>
    <w:rsid w:val="368D0A96"/>
    <w:rsid w:val="36FD2DEB"/>
    <w:rsid w:val="37737E5C"/>
    <w:rsid w:val="38376840"/>
    <w:rsid w:val="38C94119"/>
    <w:rsid w:val="396041AC"/>
    <w:rsid w:val="3A00614F"/>
    <w:rsid w:val="3A3E0A25"/>
    <w:rsid w:val="3A4808CB"/>
    <w:rsid w:val="3BB7353F"/>
    <w:rsid w:val="3D6E2980"/>
    <w:rsid w:val="3E623E77"/>
    <w:rsid w:val="3E8C40FA"/>
    <w:rsid w:val="3EE33056"/>
    <w:rsid w:val="3F3B6E9F"/>
    <w:rsid w:val="3FB54866"/>
    <w:rsid w:val="3FD61700"/>
    <w:rsid w:val="3FDB4E00"/>
    <w:rsid w:val="40250D4D"/>
    <w:rsid w:val="40D51792"/>
    <w:rsid w:val="40F16869"/>
    <w:rsid w:val="416424A6"/>
    <w:rsid w:val="42BE4C8C"/>
    <w:rsid w:val="439B196A"/>
    <w:rsid w:val="439C2E9F"/>
    <w:rsid w:val="45366DBD"/>
    <w:rsid w:val="46376147"/>
    <w:rsid w:val="46401036"/>
    <w:rsid w:val="46955E71"/>
    <w:rsid w:val="474B2A15"/>
    <w:rsid w:val="474F4F77"/>
    <w:rsid w:val="47AA50B6"/>
    <w:rsid w:val="48592FEA"/>
    <w:rsid w:val="49F61864"/>
    <w:rsid w:val="4A057DE2"/>
    <w:rsid w:val="4A7506E1"/>
    <w:rsid w:val="4A793D9D"/>
    <w:rsid w:val="4B59499D"/>
    <w:rsid w:val="4B645E43"/>
    <w:rsid w:val="4B87460E"/>
    <w:rsid w:val="4B94037D"/>
    <w:rsid w:val="4CCC3C6F"/>
    <w:rsid w:val="4D3523D3"/>
    <w:rsid w:val="4DB51293"/>
    <w:rsid w:val="4E2C1CC7"/>
    <w:rsid w:val="4FAC0F2D"/>
    <w:rsid w:val="4FBF17B7"/>
    <w:rsid w:val="50007E81"/>
    <w:rsid w:val="500D7D0B"/>
    <w:rsid w:val="508C4293"/>
    <w:rsid w:val="521A7572"/>
    <w:rsid w:val="52A25A99"/>
    <w:rsid w:val="52B850BE"/>
    <w:rsid w:val="53061176"/>
    <w:rsid w:val="53561A52"/>
    <w:rsid w:val="53BE757D"/>
    <w:rsid w:val="54AD2824"/>
    <w:rsid w:val="55056B59"/>
    <w:rsid w:val="561A1EEF"/>
    <w:rsid w:val="563863F3"/>
    <w:rsid w:val="567A127C"/>
    <w:rsid w:val="56AE5131"/>
    <w:rsid w:val="5763323A"/>
    <w:rsid w:val="57B07C9C"/>
    <w:rsid w:val="57D26D20"/>
    <w:rsid w:val="587009E0"/>
    <w:rsid w:val="58DB32C9"/>
    <w:rsid w:val="590E504B"/>
    <w:rsid w:val="597077FA"/>
    <w:rsid w:val="59C95D39"/>
    <w:rsid w:val="59F81A95"/>
    <w:rsid w:val="5AF54827"/>
    <w:rsid w:val="5B522E89"/>
    <w:rsid w:val="5B6806D3"/>
    <w:rsid w:val="5C8C1F35"/>
    <w:rsid w:val="5DA233C7"/>
    <w:rsid w:val="5DA84284"/>
    <w:rsid w:val="5DE470D4"/>
    <w:rsid w:val="5DFB0E23"/>
    <w:rsid w:val="5EE565D7"/>
    <w:rsid w:val="5EE832F7"/>
    <w:rsid w:val="60E569DB"/>
    <w:rsid w:val="61114517"/>
    <w:rsid w:val="61174B37"/>
    <w:rsid w:val="61B06041"/>
    <w:rsid w:val="61E07132"/>
    <w:rsid w:val="620913F7"/>
    <w:rsid w:val="623D1C57"/>
    <w:rsid w:val="626E4B50"/>
    <w:rsid w:val="62866D8E"/>
    <w:rsid w:val="63E836CF"/>
    <w:rsid w:val="64157FE1"/>
    <w:rsid w:val="64792A73"/>
    <w:rsid w:val="647D2112"/>
    <w:rsid w:val="64F90EBE"/>
    <w:rsid w:val="67804B47"/>
    <w:rsid w:val="695B1709"/>
    <w:rsid w:val="6A85538B"/>
    <w:rsid w:val="6AEE6F18"/>
    <w:rsid w:val="6B6E64BF"/>
    <w:rsid w:val="6C935742"/>
    <w:rsid w:val="6CDA7DDE"/>
    <w:rsid w:val="6F40631D"/>
    <w:rsid w:val="6F5224E9"/>
    <w:rsid w:val="6FBD50B0"/>
    <w:rsid w:val="6FC138AF"/>
    <w:rsid w:val="70037228"/>
    <w:rsid w:val="705C39A2"/>
    <w:rsid w:val="7076253A"/>
    <w:rsid w:val="70871AD7"/>
    <w:rsid w:val="70CE5958"/>
    <w:rsid w:val="70D21960"/>
    <w:rsid w:val="725C70E8"/>
    <w:rsid w:val="72EE22E1"/>
    <w:rsid w:val="73F154C9"/>
    <w:rsid w:val="74765611"/>
    <w:rsid w:val="765C4CB4"/>
    <w:rsid w:val="7675506C"/>
    <w:rsid w:val="768A124E"/>
    <w:rsid w:val="774F5565"/>
    <w:rsid w:val="77591F00"/>
    <w:rsid w:val="777925E2"/>
    <w:rsid w:val="78621982"/>
    <w:rsid w:val="79591746"/>
    <w:rsid w:val="7A324215"/>
    <w:rsid w:val="7A560E98"/>
    <w:rsid w:val="7AA03EBF"/>
    <w:rsid w:val="7C215833"/>
    <w:rsid w:val="7CF43977"/>
    <w:rsid w:val="7D2734CA"/>
    <w:rsid w:val="7DD22834"/>
    <w:rsid w:val="7DEB06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1" w:semiHidden="0" w:name="heading 3"/>
    <w:lsdException w:qFormat="1" w:uiPriority="9" w:name="heading 4"/>
    <w:lsdException w:qFormat="1"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6"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29"/>
    <w:autoRedefine/>
    <w:qFormat/>
    <w:uiPriority w:val="0"/>
    <w:pPr>
      <w:keepNext/>
      <w:keepLines/>
      <w:spacing w:before="340" w:after="330" w:line="578" w:lineRule="auto"/>
      <w:outlineLvl w:val="0"/>
    </w:pPr>
    <w:rPr>
      <w:b/>
      <w:bCs/>
      <w:kern w:val="44"/>
      <w:sz w:val="44"/>
      <w:szCs w:val="44"/>
    </w:rPr>
  </w:style>
  <w:style w:type="paragraph" w:styleId="6">
    <w:name w:val="heading 2"/>
    <w:basedOn w:val="1"/>
    <w:next w:val="1"/>
    <w:autoRedefine/>
    <w:qFormat/>
    <w:uiPriority w:val="99"/>
    <w:pPr>
      <w:keepNext/>
      <w:keepLines/>
      <w:spacing w:before="260" w:after="260" w:line="416" w:lineRule="auto"/>
      <w:outlineLvl w:val="1"/>
    </w:pPr>
    <w:rPr>
      <w:rFonts w:ascii="Arial" w:hAnsi="Arial" w:eastAsia="黑体" w:cs="Arial"/>
      <w:b/>
      <w:bCs/>
      <w:kern w:val="2"/>
      <w:sz w:val="32"/>
      <w:szCs w:val="32"/>
    </w:rPr>
  </w:style>
  <w:style w:type="paragraph" w:styleId="7">
    <w:name w:val="heading 3"/>
    <w:basedOn w:val="1"/>
    <w:next w:val="1"/>
    <w:autoRedefine/>
    <w:unhideWhenUsed/>
    <w:qFormat/>
    <w:uiPriority w:val="1"/>
    <w:pPr>
      <w:ind w:left="-12"/>
      <w:outlineLvl w:val="2"/>
    </w:pPr>
    <w:rPr>
      <w:rFonts w:hint="eastAsia" w:ascii="宋体" w:hAnsi="宋体" w:eastAsia="宋体"/>
      <w:b/>
      <w:sz w:val="36"/>
    </w:rPr>
  </w:style>
  <w:style w:type="paragraph" w:styleId="8">
    <w:name w:val="heading 5"/>
    <w:basedOn w:val="1"/>
    <w:next w:val="1"/>
    <w:link w:val="35"/>
    <w:autoRedefine/>
    <w:unhideWhenUsed/>
    <w:qFormat/>
    <w:uiPriority w:val="1"/>
    <w:pPr>
      <w:outlineLvl w:val="4"/>
    </w:pPr>
    <w:rPr>
      <w:rFonts w:hint="eastAsia" w:ascii="宋体" w:hAnsi="宋体" w:eastAsia="宋体"/>
      <w:sz w:val="32"/>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customStyle="1" w:styleId="2">
    <w:name w:val="章标题"/>
    <w:basedOn w:val="3"/>
    <w:next w:val="4"/>
    <w:autoRedefine/>
    <w:qFormat/>
    <w:uiPriority w:val="0"/>
    <w:pPr>
      <w:spacing w:before="158" w:after="153" w:line="323" w:lineRule="atLeast"/>
      <w:ind w:right="-120"/>
      <w:jc w:val="center"/>
    </w:pPr>
    <w:rPr>
      <w:color w:val="FF0000"/>
      <w:sz w:val="18"/>
    </w:rPr>
  </w:style>
  <w:style w:type="paragraph" w:customStyle="1" w:styleId="3">
    <w:name w:val="正文1"/>
    <w:autoRedefine/>
    <w:qFormat/>
    <w:uiPriority w:val="0"/>
    <w:pPr>
      <w:widowControl w:val="0"/>
      <w:jc w:val="both"/>
    </w:pPr>
    <w:rPr>
      <w:rFonts w:ascii="Calibri" w:hAnsi="Calibri" w:eastAsia="宋体" w:cs="黑体"/>
      <w:kern w:val="2"/>
      <w:sz w:val="21"/>
      <w:szCs w:val="22"/>
      <w:lang w:val="en-US" w:eastAsia="zh-CN" w:bidi="ar-SA"/>
    </w:rPr>
  </w:style>
  <w:style w:type="paragraph" w:customStyle="1" w:styleId="4">
    <w:name w:val="节标题"/>
    <w:next w:val="1"/>
    <w:qFormat/>
    <w:uiPriority w:val="0"/>
    <w:pPr>
      <w:spacing w:line="289" w:lineRule="atLeast"/>
      <w:jc w:val="center"/>
    </w:pPr>
    <w:rPr>
      <w:rFonts w:ascii="Calibri" w:hAnsi="Calibri" w:eastAsia="宋体" w:cs="Times New Roman"/>
      <w:color w:val="000000"/>
      <w:sz w:val="28"/>
      <w:szCs w:val="24"/>
      <w:lang w:val="en-US" w:eastAsia="zh-CN" w:bidi="ar-SA"/>
    </w:rPr>
  </w:style>
  <w:style w:type="paragraph" w:styleId="9">
    <w:name w:val="Normal Indent"/>
    <w:basedOn w:val="1"/>
    <w:autoRedefine/>
    <w:qFormat/>
    <w:uiPriority w:val="0"/>
    <w:pPr>
      <w:ind w:firstLine="420" w:firstLineChars="200"/>
    </w:pPr>
    <w:rPr>
      <w:rFonts w:asciiTheme="minorHAnsi" w:hAnsiTheme="minorHAnsi" w:cstheme="minorBidi"/>
    </w:rPr>
  </w:style>
  <w:style w:type="paragraph" w:styleId="10">
    <w:name w:val="annotation text"/>
    <w:basedOn w:val="1"/>
    <w:autoRedefine/>
    <w:qFormat/>
    <w:uiPriority w:val="0"/>
    <w:pPr>
      <w:jc w:val="left"/>
    </w:pPr>
  </w:style>
  <w:style w:type="paragraph" w:styleId="11">
    <w:name w:val="Body Text"/>
    <w:basedOn w:val="1"/>
    <w:autoRedefine/>
    <w:qFormat/>
    <w:uiPriority w:val="1"/>
    <w:pPr>
      <w:spacing w:before="8"/>
    </w:pPr>
    <w:rPr>
      <w:rFonts w:ascii="宋体" w:hAnsi="宋体" w:eastAsia="宋体" w:cs="宋体"/>
      <w:sz w:val="32"/>
      <w:szCs w:val="32"/>
      <w:lang w:val="zh-CN" w:eastAsia="zh-CN" w:bidi="zh-CN"/>
    </w:rPr>
  </w:style>
  <w:style w:type="paragraph" w:styleId="12">
    <w:name w:val="Body Text Indent"/>
    <w:basedOn w:val="1"/>
    <w:next w:val="1"/>
    <w:autoRedefine/>
    <w:qFormat/>
    <w:uiPriority w:val="0"/>
    <w:pPr>
      <w:spacing w:line="520" w:lineRule="exact"/>
      <w:ind w:firstLine="480" w:firstLineChars="200"/>
    </w:pPr>
    <w:rPr>
      <w:rFonts w:ascii="Calibri" w:hAnsi="Calibri"/>
      <w:kern w:val="0"/>
      <w:sz w:val="24"/>
      <w:szCs w:val="20"/>
    </w:rPr>
  </w:style>
  <w:style w:type="paragraph" w:styleId="13">
    <w:name w:val="Plain Text"/>
    <w:basedOn w:val="1"/>
    <w:autoRedefine/>
    <w:qFormat/>
    <w:uiPriority w:val="6"/>
    <w:rPr>
      <w:rFonts w:ascii="宋体" w:hAnsi="宋体" w:cs="Courier New"/>
      <w:kern w:val="1"/>
      <w:szCs w:val="21"/>
    </w:rPr>
  </w:style>
  <w:style w:type="paragraph" w:styleId="14">
    <w:name w:val="Date"/>
    <w:basedOn w:val="1"/>
    <w:next w:val="1"/>
    <w:link w:val="27"/>
    <w:autoRedefine/>
    <w:semiHidden/>
    <w:unhideWhenUsed/>
    <w:qFormat/>
    <w:uiPriority w:val="99"/>
    <w:pPr>
      <w:ind w:left="100" w:leftChars="2500"/>
    </w:pPr>
  </w:style>
  <w:style w:type="paragraph" w:styleId="15">
    <w:name w:val="footer"/>
    <w:basedOn w:val="1"/>
    <w:link w:val="26"/>
    <w:autoRedefine/>
    <w:unhideWhenUsed/>
    <w:qFormat/>
    <w:uiPriority w:val="99"/>
    <w:pPr>
      <w:tabs>
        <w:tab w:val="center" w:pos="4153"/>
        <w:tab w:val="right" w:pos="8306"/>
      </w:tabs>
      <w:snapToGrid w:val="0"/>
      <w:jc w:val="left"/>
    </w:pPr>
    <w:rPr>
      <w:sz w:val="18"/>
      <w:szCs w:val="18"/>
    </w:rPr>
  </w:style>
  <w:style w:type="paragraph" w:styleId="16">
    <w:name w:val="header"/>
    <w:basedOn w:val="1"/>
    <w:link w:val="25"/>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8">
    <w:name w:val="Title"/>
    <w:basedOn w:val="1"/>
    <w:next w:val="1"/>
    <w:autoRedefine/>
    <w:qFormat/>
    <w:uiPriority w:val="0"/>
    <w:pPr>
      <w:spacing w:before="240" w:after="60"/>
      <w:jc w:val="center"/>
      <w:outlineLvl w:val="0"/>
    </w:pPr>
    <w:rPr>
      <w:rFonts w:ascii="Cambria" w:hAnsi="Cambria" w:cs="Times New Roman"/>
      <w:b/>
      <w:bCs/>
      <w:sz w:val="32"/>
      <w:szCs w:val="32"/>
    </w:rPr>
  </w:style>
  <w:style w:type="paragraph" w:styleId="19">
    <w:name w:val="Body Text First Indent 2"/>
    <w:basedOn w:val="12"/>
    <w:autoRedefine/>
    <w:unhideWhenUsed/>
    <w:qFormat/>
    <w:uiPriority w:val="99"/>
    <w:pPr>
      <w:ind w:firstLine="420"/>
    </w:p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22"/>
    <w:rPr>
      <w:b/>
      <w:bCs/>
    </w:rPr>
  </w:style>
  <w:style w:type="paragraph" w:customStyle="1" w:styleId="24">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25">
    <w:name w:val="页眉 Char"/>
    <w:basedOn w:val="22"/>
    <w:link w:val="16"/>
    <w:autoRedefine/>
    <w:semiHidden/>
    <w:qFormat/>
    <w:uiPriority w:val="99"/>
    <w:rPr>
      <w:sz w:val="18"/>
      <w:szCs w:val="18"/>
    </w:rPr>
  </w:style>
  <w:style w:type="character" w:customStyle="1" w:styleId="26">
    <w:name w:val="页脚 Char"/>
    <w:basedOn w:val="22"/>
    <w:link w:val="15"/>
    <w:autoRedefine/>
    <w:qFormat/>
    <w:uiPriority w:val="99"/>
    <w:rPr>
      <w:sz w:val="18"/>
      <w:szCs w:val="18"/>
    </w:rPr>
  </w:style>
  <w:style w:type="character" w:customStyle="1" w:styleId="27">
    <w:name w:val="日期 Char"/>
    <w:basedOn w:val="22"/>
    <w:link w:val="14"/>
    <w:autoRedefine/>
    <w:semiHidden/>
    <w:qFormat/>
    <w:uiPriority w:val="99"/>
  </w:style>
  <w:style w:type="character" w:customStyle="1" w:styleId="28">
    <w:name w:val="apple-style-span"/>
    <w:basedOn w:val="22"/>
    <w:autoRedefine/>
    <w:qFormat/>
    <w:uiPriority w:val="0"/>
    <w:rPr>
      <w:rFonts w:hint="default" w:ascii="Times New Roman"/>
    </w:rPr>
  </w:style>
  <w:style w:type="character" w:customStyle="1" w:styleId="29">
    <w:name w:val="标题 1 Char"/>
    <w:link w:val="5"/>
    <w:autoRedefine/>
    <w:qFormat/>
    <w:uiPriority w:val="0"/>
    <w:rPr>
      <w:b/>
      <w:bCs/>
      <w:kern w:val="44"/>
      <w:sz w:val="44"/>
      <w:szCs w:val="44"/>
    </w:rPr>
  </w:style>
  <w:style w:type="paragraph" w:customStyle="1" w:styleId="30">
    <w:name w:val="List Paragraph"/>
    <w:basedOn w:val="1"/>
    <w:autoRedefine/>
    <w:qFormat/>
    <w:uiPriority w:val="34"/>
    <w:pPr>
      <w:ind w:firstLine="420" w:firstLineChars="200"/>
    </w:pPr>
    <w:rPr>
      <w:rFonts w:ascii="Calibri" w:hAnsi="Calibri"/>
      <w:szCs w:val="22"/>
    </w:rPr>
  </w:style>
  <w:style w:type="character" w:customStyle="1" w:styleId="31">
    <w:name w:val="font11"/>
    <w:basedOn w:val="22"/>
    <w:autoRedefine/>
    <w:qFormat/>
    <w:uiPriority w:val="0"/>
    <w:rPr>
      <w:rFonts w:hint="eastAsia" w:ascii="宋体" w:hAnsi="宋体" w:eastAsia="宋体" w:cs="宋体"/>
      <w:color w:val="000000"/>
      <w:sz w:val="24"/>
      <w:szCs w:val="24"/>
      <w:u w:val="none"/>
    </w:rPr>
  </w:style>
  <w:style w:type="paragraph" w:customStyle="1" w:styleId="32">
    <w:name w:val="正文 A"/>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Calibri" w:cs="Calibri"/>
      <w:color w:val="000000"/>
      <w:kern w:val="2"/>
      <w:sz w:val="21"/>
      <w:szCs w:val="21"/>
      <w:u w:color="000000"/>
      <w:lang w:val="en-US" w:eastAsia="zh-CN" w:bidi="ar-SA"/>
    </w:rPr>
  </w:style>
  <w:style w:type="paragraph" w:customStyle="1" w:styleId="33">
    <w:name w:val="页眉与页脚"/>
    <w:autoRedefine/>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w:hAnsi="Arial Unicode MS" w:eastAsia="Arial Unicode MS" w:cs="Arial Unicode MS"/>
      <w:color w:val="000000"/>
      <w:sz w:val="24"/>
      <w:szCs w:val="24"/>
      <w:lang w:val="en-US" w:eastAsia="zh-CN" w:bidi="ar-SA"/>
    </w:rPr>
  </w:style>
  <w:style w:type="paragraph" w:customStyle="1" w:styleId="34">
    <w:name w:val="Table Paragraph"/>
    <w:basedOn w:val="1"/>
    <w:autoRedefine/>
    <w:qFormat/>
    <w:uiPriority w:val="1"/>
    <w:pPr>
      <w:spacing w:before="21"/>
      <w:ind w:left="108"/>
    </w:pPr>
    <w:rPr>
      <w:rFonts w:ascii="宋体" w:hAnsi="宋体" w:eastAsia="宋体" w:cs="宋体"/>
      <w:lang w:val="zh-CN" w:eastAsia="zh-CN" w:bidi="zh-CN"/>
    </w:rPr>
  </w:style>
  <w:style w:type="character" w:customStyle="1" w:styleId="35">
    <w:name w:val="标题 5 Char"/>
    <w:link w:val="8"/>
    <w:autoRedefine/>
    <w:qFormat/>
    <w:uiPriority w:val="1"/>
    <w:rPr>
      <w:rFonts w:hint="eastAsia" w:ascii="宋体" w:hAnsi="宋体" w:eastAsia="宋体"/>
      <w:sz w:val="32"/>
    </w:rPr>
  </w:style>
  <w:style w:type="paragraph" w:customStyle="1" w:styleId="36">
    <w:name w:val="表格"/>
    <w:basedOn w:val="1"/>
    <w:autoRedefine/>
    <w:qFormat/>
    <w:uiPriority w:val="0"/>
    <w:pPr>
      <w:spacing w:line="400" w:lineRule="exact"/>
    </w:pPr>
    <w:rPr>
      <w:rFonts w:ascii="Times New Roman" w:hAnsi="Times New Roman" w:eastAsia="宋体" w:cs="Times New Roman"/>
      <w:sz w:val="24"/>
      <w:szCs w:val="24"/>
    </w:rPr>
  </w:style>
  <w:style w:type="character" w:customStyle="1" w:styleId="37">
    <w:name w:val="apple-converted-space"/>
    <w:basedOn w:val="22"/>
    <w:autoRedefine/>
    <w:qFormat/>
    <w:uiPriority w:val="0"/>
  </w:style>
  <w:style w:type="paragraph" w:customStyle="1" w:styleId="38">
    <w:name w:val="Table Text"/>
    <w:basedOn w:val="1"/>
    <w:autoRedefine/>
    <w:semiHidden/>
    <w:qFormat/>
    <w:uiPriority w:val="0"/>
    <w:rPr>
      <w:rFonts w:ascii="宋体" w:hAnsi="宋体" w:eastAsia="宋体" w:cs="宋体"/>
      <w:sz w:val="24"/>
      <w:szCs w:val="24"/>
      <w:lang w:val="en-US" w:eastAsia="en-US" w:bidi="ar-SA"/>
    </w:rPr>
  </w:style>
  <w:style w:type="table" w:customStyle="1" w:styleId="39">
    <w:name w:val="Table Normal"/>
    <w:autoRedefine/>
    <w:semiHidden/>
    <w:unhideWhenUsed/>
    <w:qFormat/>
    <w:uiPriority w:val="0"/>
    <w:tblPr>
      <w:tblCellMar>
        <w:top w:w="0" w:type="dxa"/>
        <w:left w:w="0" w:type="dxa"/>
        <w:bottom w:w="0" w:type="dxa"/>
        <w:right w:w="0" w:type="dxa"/>
      </w:tblCellMar>
    </w:tblPr>
  </w:style>
  <w:style w:type="paragraph" w:customStyle="1" w:styleId="40">
    <w:name w:val="样式 楷体_GB2312 小四 行距: 1.5 倍行距"/>
    <w:basedOn w:val="1"/>
    <w:autoRedefine/>
    <w:qFormat/>
    <w:uiPriority w:val="0"/>
    <w:pPr>
      <w:spacing w:line="360" w:lineRule="auto"/>
      <w:ind w:firstLine="200" w:firstLineChars="200"/>
    </w:pPr>
    <w:rPr>
      <w:rFonts w:ascii="楷体_GB2312" w:hAnsi="Calibri" w:eastAsia="楷体_GB2312" w:cs="宋体"/>
      <w:sz w:val="24"/>
      <w:szCs w:val="20"/>
    </w:rPr>
  </w:style>
  <w:style w:type="paragraph" w:customStyle="1" w:styleId="41">
    <w:name w:val="p"/>
    <w:basedOn w:val="1"/>
    <w:autoRedefine/>
    <w:qFormat/>
    <w:uiPriority w:val="0"/>
    <w:pPr>
      <w:spacing w:line="525" w:lineRule="atLeast"/>
      <w:ind w:firstLine="375"/>
    </w:pPr>
  </w:style>
  <w:style w:type="paragraph" w:customStyle="1" w:styleId="42">
    <w:name w:val="小四正文"/>
    <w:basedOn w:val="1"/>
    <w:next w:val="1"/>
    <w:autoRedefine/>
    <w:qFormat/>
    <w:locked/>
    <w:uiPriority w:val="0"/>
    <w:pPr>
      <w:spacing w:line="360" w:lineRule="auto"/>
      <w:ind w:firstLine="200" w:firstLineChars="200"/>
    </w:pPr>
    <w:rPr>
      <w:rFonts w:ascii="Calibri" w:hAnsi="Calibri"/>
      <w:sz w:val="24"/>
      <w:szCs w:val="28"/>
    </w:rPr>
  </w:style>
  <w:style w:type="character" w:customStyle="1" w:styleId="43">
    <w:name w:val="font21"/>
    <w:basedOn w:val="22"/>
    <w:autoRedefine/>
    <w:qFormat/>
    <w:uiPriority w:val="0"/>
    <w:rPr>
      <w:rFonts w:hint="eastAsia" w:ascii="仿宋_GB2312" w:eastAsia="仿宋_GB2312" w:cs="仿宋_GB2312"/>
      <w:color w:val="000000"/>
      <w:sz w:val="28"/>
      <w:szCs w:val="28"/>
      <w:u w:val="none"/>
    </w:rPr>
  </w:style>
  <w:style w:type="character" w:customStyle="1" w:styleId="44">
    <w:name w:val="font31"/>
    <w:basedOn w:val="22"/>
    <w:autoRedefine/>
    <w:qFormat/>
    <w:uiPriority w:val="0"/>
    <w:rPr>
      <w:rFonts w:hint="eastAsia" w:ascii="仿宋_GB2312" w:eastAsia="仿宋_GB2312" w:cs="仿宋_GB2312"/>
      <w:color w:val="000000"/>
      <w:sz w:val="24"/>
      <w:szCs w:val="24"/>
      <w:u w:val="none"/>
    </w:rPr>
  </w:style>
  <w:style w:type="character" w:customStyle="1" w:styleId="45">
    <w:name w:val="font41"/>
    <w:basedOn w:val="22"/>
    <w:autoRedefine/>
    <w:qFormat/>
    <w:uiPriority w:val="0"/>
    <w:rPr>
      <w:rFonts w:hint="eastAsia" w:ascii="仿宋_GB2312" w:eastAsia="仿宋_GB2312" w:cs="仿宋_GB2312"/>
      <w:color w:val="000000"/>
      <w:sz w:val="22"/>
      <w:szCs w:val="22"/>
      <w:u w:val="none"/>
    </w:rPr>
  </w:style>
  <w:style w:type="character" w:customStyle="1" w:styleId="46">
    <w:name w:val="font51"/>
    <w:basedOn w:val="22"/>
    <w:autoRedefine/>
    <w:qFormat/>
    <w:uiPriority w:val="0"/>
    <w:rPr>
      <w:rFonts w:hint="eastAsia" w:ascii="仿宋_GB2312" w:eastAsia="仿宋_GB2312" w:cs="仿宋_GB2312"/>
      <w:b/>
      <w:bCs/>
      <w:color w:val="000000"/>
      <w:sz w:val="22"/>
      <w:szCs w:val="22"/>
      <w:u w:val="none"/>
    </w:rPr>
  </w:style>
  <w:style w:type="paragraph" w:customStyle="1" w:styleId="47">
    <w:name w:val="标题 5（有编号）（绿盟科技）"/>
    <w:basedOn w:val="3"/>
    <w:next w:val="48"/>
    <w:autoRedefine/>
    <w:qFormat/>
    <w:uiPriority w:val="0"/>
    <w:pPr>
      <w:keepNext/>
      <w:keepLines/>
      <w:numPr>
        <w:ilvl w:val="4"/>
        <w:numId w:val="1"/>
      </w:numPr>
      <w:tabs>
        <w:tab w:val="left" w:pos="0"/>
      </w:tabs>
      <w:spacing w:before="280" w:after="156" w:line="377" w:lineRule="auto"/>
      <w:outlineLvl w:val="4"/>
    </w:pPr>
    <w:rPr>
      <w:rFonts w:ascii="Arial" w:hAnsi="Arial" w:eastAsia="黑体"/>
      <w:b/>
      <w:kern w:val="0"/>
      <w:szCs w:val="28"/>
    </w:rPr>
  </w:style>
  <w:style w:type="paragraph" w:customStyle="1" w:styleId="48">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49">
    <w:name w:val="正文文本1"/>
    <w:basedOn w:val="50"/>
    <w:next w:val="3"/>
    <w:autoRedefine/>
    <w:qFormat/>
    <w:uiPriority w:val="0"/>
    <w:pPr>
      <w:spacing w:beforeLines="0" w:afterLines="50"/>
    </w:pPr>
  </w:style>
  <w:style w:type="paragraph" w:customStyle="1" w:styleId="50">
    <w:name w:val="表格内1"/>
    <w:next w:val="49"/>
    <w:autoRedefine/>
    <w:qFormat/>
    <w:uiPriority w:val="0"/>
    <w:pPr>
      <w:widowControl w:val="0"/>
      <w:numPr>
        <w:ilvl w:val="0"/>
        <w:numId w:val="2"/>
      </w:numPr>
      <w:jc w:val="both"/>
    </w:pPr>
    <w:rPr>
      <w:rFonts w:ascii="Calibri" w:hAnsi="Calibri" w:eastAsia="宋体" w:cs="黑体"/>
      <w:b/>
      <w:kern w:val="2"/>
      <w:sz w:val="21"/>
      <w:szCs w:val="22"/>
      <w:lang w:val="en-US" w:eastAsia="zh-CN" w:bidi="ar-SA"/>
    </w:rPr>
  </w:style>
  <w:style w:type="paragraph" w:customStyle="1" w:styleId="51">
    <w:name w:val="正文首行缩进两字符"/>
    <w:basedOn w:val="1"/>
    <w:autoRedefine/>
    <w:qFormat/>
    <w:uiPriority w:val="0"/>
    <w:pPr>
      <w:spacing w:line="360" w:lineRule="auto"/>
      <w:ind w:firstLine="200" w:firstLineChars="200"/>
    </w:pPr>
  </w:style>
  <w:style w:type="paragraph" w:customStyle="1" w:styleId="52">
    <w:name w:val="列出段落1"/>
    <w:basedOn w:val="1"/>
    <w:autoRedefine/>
    <w:qFormat/>
    <w:uiPriority w:val="0"/>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395F0-BDC6-4B2A-AB0A-454A4D7AF79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2261</Words>
  <Characters>2345</Characters>
  <Lines>18</Lines>
  <Paragraphs>5</Paragraphs>
  <TotalTime>39</TotalTime>
  <ScaleCrop>false</ScaleCrop>
  <LinksUpToDate>false</LinksUpToDate>
  <CharactersWithSpaces>2487</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2018-10-26T00:11:00Z</dcterms:created>
  <dc:creator>Microsoft</dc:creator>
  <cp:lastModifiedBy>-</cp:lastModifiedBy>
  <cp:lastPrinted>2024-01-15T00:37:00Z</cp:lastPrinted>
  <dcterms:modified xsi:type="dcterms:W3CDTF">2024-03-01T03:35:54Z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1C3FC4DCCD5D4A60B840630B57AA45DF</vt:lpwstr>
  </property>
  <property fmtid="{D5CDD505-2E9C-101B-9397-08002B2CF9AE}" pid="4" name="commondata">
    <vt:lpwstr>eyJoZGlkIjoiOWQwMGZiM2I2N2E5NTM5YjM1OTU4N2UwNzJlMWE3MGIifQ==</vt:lpwstr>
  </property>
</Properties>
</file>